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2B3D8" w14:textId="171AC406" w:rsidR="004B70CA" w:rsidRPr="00865819" w:rsidRDefault="004B70CA">
      <w:pPr>
        <w:rPr>
          <w:rFonts w:cstheme="minorHAnsi"/>
          <w:sz w:val="24"/>
          <w:szCs w:val="24"/>
        </w:rPr>
      </w:pPr>
    </w:p>
    <w:p w14:paraId="78DED525" w14:textId="17A3EAC6" w:rsidR="00865819" w:rsidRPr="00865819" w:rsidRDefault="00865819">
      <w:pPr>
        <w:rPr>
          <w:rFonts w:cstheme="minorHAnsi"/>
          <w:sz w:val="24"/>
          <w:szCs w:val="24"/>
        </w:rPr>
      </w:pPr>
    </w:p>
    <w:p w14:paraId="06726B00" w14:textId="6E7F93E6" w:rsidR="00865819" w:rsidRPr="00865819" w:rsidRDefault="00865819">
      <w:pPr>
        <w:rPr>
          <w:rFonts w:cstheme="minorHAnsi"/>
          <w:sz w:val="24"/>
          <w:szCs w:val="24"/>
        </w:rPr>
      </w:pPr>
    </w:p>
    <w:p w14:paraId="2F59C189" w14:textId="77777777" w:rsidR="00865819" w:rsidRPr="00865819" w:rsidRDefault="00865819">
      <w:pPr>
        <w:rPr>
          <w:rFonts w:cstheme="minorHAnsi"/>
          <w:sz w:val="24"/>
          <w:szCs w:val="24"/>
        </w:rPr>
      </w:pPr>
    </w:p>
    <w:tbl>
      <w:tblPr>
        <w:tblW w:w="99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4610"/>
        <w:gridCol w:w="3560"/>
      </w:tblGrid>
      <w:tr w:rsidR="00865819" w:rsidRPr="00865819" w14:paraId="4953F952" w14:textId="77777777" w:rsidTr="00865819">
        <w:trPr>
          <w:trHeight w:val="341"/>
        </w:trPr>
        <w:tc>
          <w:tcPr>
            <w:tcW w:w="1780" w:type="dxa"/>
            <w:tcBorders>
              <w:top w:val="single" w:sz="8" w:space="0" w:color="3494BA"/>
              <w:left w:val="single" w:sz="8" w:space="0" w:color="3494BA"/>
              <w:bottom w:val="single" w:sz="8" w:space="0" w:color="3494BA"/>
              <w:right w:val="nil"/>
            </w:tcBorders>
            <w:shd w:val="clear" w:color="auto" w:fill="3494BA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1611B420" w14:textId="77777777" w:rsidR="00865819" w:rsidRPr="00865819" w:rsidRDefault="00865819" w:rsidP="00865819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  <w:lang w:eastAsia="en-ID"/>
              </w:rPr>
            </w:pPr>
            <w:r w:rsidRPr="00865819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4"/>
                <w:szCs w:val="24"/>
                <w:lang w:val="en-US" w:eastAsia="en-ID"/>
              </w:rPr>
              <w:t>Bab</w:t>
            </w:r>
          </w:p>
        </w:tc>
        <w:tc>
          <w:tcPr>
            <w:tcW w:w="4610" w:type="dxa"/>
            <w:tcBorders>
              <w:top w:val="single" w:sz="8" w:space="0" w:color="3494BA"/>
              <w:left w:val="nil"/>
              <w:bottom w:val="single" w:sz="8" w:space="0" w:color="3494BA"/>
              <w:right w:val="nil"/>
            </w:tcBorders>
            <w:shd w:val="clear" w:color="auto" w:fill="3494BA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4037E93F" w14:textId="77777777" w:rsidR="00865819" w:rsidRPr="00865819" w:rsidRDefault="00865819" w:rsidP="00865819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  <w:lang w:eastAsia="en-ID"/>
              </w:rPr>
            </w:pPr>
            <w:r w:rsidRPr="00865819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4"/>
                <w:szCs w:val="24"/>
                <w:lang w:val="en-US" w:eastAsia="en-ID"/>
              </w:rPr>
              <w:t xml:space="preserve">Ruang </w:t>
            </w:r>
            <w:proofErr w:type="spellStart"/>
            <w:r w:rsidRPr="00865819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4"/>
                <w:szCs w:val="24"/>
                <w:lang w:val="en-US" w:eastAsia="en-ID"/>
              </w:rPr>
              <w:t>Lingkup</w:t>
            </w:r>
            <w:proofErr w:type="spellEnd"/>
            <w:r w:rsidRPr="00865819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4"/>
                <w:szCs w:val="24"/>
                <w:lang w:val="en-US" w:eastAsia="en-ID"/>
              </w:rPr>
              <w:t xml:space="preserve"> </w:t>
            </w:r>
            <w:proofErr w:type="spellStart"/>
            <w:r w:rsidRPr="00865819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4"/>
                <w:szCs w:val="24"/>
                <w:lang w:val="en-US" w:eastAsia="en-ID"/>
              </w:rPr>
              <w:t>Umum</w:t>
            </w:r>
            <w:proofErr w:type="spellEnd"/>
          </w:p>
        </w:tc>
        <w:tc>
          <w:tcPr>
            <w:tcW w:w="3560" w:type="dxa"/>
            <w:tcBorders>
              <w:top w:val="single" w:sz="8" w:space="0" w:color="3494BA"/>
              <w:left w:val="nil"/>
              <w:bottom w:val="single" w:sz="8" w:space="0" w:color="3494BA"/>
              <w:right w:val="single" w:sz="8" w:space="0" w:color="3494BA"/>
            </w:tcBorders>
            <w:shd w:val="clear" w:color="auto" w:fill="3494BA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3BFBE383" w14:textId="77777777" w:rsidR="00865819" w:rsidRPr="00865819" w:rsidRDefault="00865819" w:rsidP="00865819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  <w:lang w:eastAsia="en-ID"/>
              </w:rPr>
            </w:pPr>
            <w:proofErr w:type="spellStart"/>
            <w:r w:rsidRPr="00865819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4"/>
                <w:szCs w:val="24"/>
                <w:lang w:val="en-US" w:eastAsia="en-ID"/>
              </w:rPr>
              <w:t>Standar</w:t>
            </w:r>
            <w:proofErr w:type="spellEnd"/>
            <w:r w:rsidRPr="00865819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4"/>
                <w:szCs w:val="24"/>
                <w:lang w:val="en-US" w:eastAsia="en-ID"/>
              </w:rPr>
              <w:t xml:space="preserve"> EITI 2019</w:t>
            </w:r>
          </w:p>
        </w:tc>
      </w:tr>
      <w:tr w:rsidR="00865819" w:rsidRPr="00865819" w14:paraId="6A14FE93" w14:textId="77777777" w:rsidTr="00865819">
        <w:trPr>
          <w:trHeight w:val="1893"/>
        </w:trPr>
        <w:tc>
          <w:tcPr>
            <w:tcW w:w="1780" w:type="dxa"/>
            <w:tcBorders>
              <w:top w:val="single" w:sz="8" w:space="0" w:color="3494BA"/>
              <w:left w:val="single" w:sz="8" w:space="0" w:color="3494BA"/>
              <w:bottom w:val="single" w:sz="8" w:space="0" w:color="3494BA"/>
              <w:right w:val="nil"/>
            </w:tcBorders>
            <w:shd w:val="clear" w:color="auto" w:fill="E8EFF3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3590ABBC" w14:textId="77777777" w:rsidR="00865819" w:rsidRPr="00865819" w:rsidRDefault="00865819" w:rsidP="00865819">
            <w:pPr>
              <w:spacing w:after="60" w:line="266" w:lineRule="exact"/>
              <w:ind w:left="86"/>
              <w:rPr>
                <w:rFonts w:eastAsia="Times New Roman" w:cstheme="minorHAnsi"/>
                <w:sz w:val="24"/>
                <w:szCs w:val="24"/>
                <w:lang w:eastAsia="en-ID"/>
              </w:rPr>
            </w:pPr>
            <w:r w:rsidRPr="0086581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24"/>
                <w:szCs w:val="24"/>
                <w:lang w:val="en-SG" w:eastAsia="en-ID"/>
              </w:rPr>
              <w:t>Bab I</w:t>
            </w:r>
          </w:p>
          <w:p w14:paraId="0A192930" w14:textId="77777777" w:rsidR="00865819" w:rsidRPr="00865819" w:rsidRDefault="00865819" w:rsidP="00865819">
            <w:pPr>
              <w:spacing w:after="60" w:line="266" w:lineRule="exact"/>
              <w:ind w:left="86"/>
              <w:rPr>
                <w:rFonts w:eastAsia="Times New Roman" w:cstheme="minorHAnsi"/>
                <w:sz w:val="24"/>
                <w:szCs w:val="24"/>
                <w:lang w:eastAsia="en-ID"/>
              </w:rPr>
            </w:pPr>
            <w:proofErr w:type="spellStart"/>
            <w:r w:rsidRPr="0086581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24"/>
                <w:szCs w:val="24"/>
                <w:lang w:val="en-SG" w:eastAsia="en-ID"/>
              </w:rPr>
              <w:t>Pendahuluan</w:t>
            </w:r>
            <w:proofErr w:type="spellEnd"/>
          </w:p>
        </w:tc>
        <w:tc>
          <w:tcPr>
            <w:tcW w:w="4610" w:type="dxa"/>
            <w:tcBorders>
              <w:top w:val="single" w:sz="8" w:space="0" w:color="3494BA"/>
              <w:left w:val="nil"/>
              <w:bottom w:val="single" w:sz="8" w:space="0" w:color="3494BA"/>
              <w:right w:val="nil"/>
            </w:tcBorders>
            <w:shd w:val="clear" w:color="auto" w:fill="E8EFF3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024DBA68" w14:textId="77777777" w:rsidR="00865819" w:rsidRPr="00865819" w:rsidRDefault="00865819" w:rsidP="00865819">
            <w:pPr>
              <w:numPr>
                <w:ilvl w:val="0"/>
                <w:numId w:val="4"/>
              </w:numPr>
              <w:spacing w:after="60" w:line="240" w:lineRule="auto"/>
              <w:ind w:left="1008"/>
              <w:contextualSpacing/>
              <w:rPr>
                <w:rFonts w:eastAsia="Times New Roman" w:cstheme="minorHAnsi"/>
                <w:sz w:val="24"/>
                <w:szCs w:val="24"/>
                <w:lang w:eastAsia="en-ID"/>
              </w:rPr>
            </w:pPr>
            <w:proofErr w:type="spellStart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US" w:eastAsia="en-ID"/>
              </w:rPr>
              <w:t>Latar</w:t>
            </w:r>
            <w:proofErr w:type="spellEnd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US" w:eastAsia="en-ID"/>
              </w:rPr>
              <w:t xml:space="preserve"> </w:t>
            </w:r>
            <w:proofErr w:type="spellStart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US" w:eastAsia="en-ID"/>
              </w:rPr>
              <w:t>Belakang</w:t>
            </w:r>
            <w:proofErr w:type="spellEnd"/>
          </w:p>
          <w:p w14:paraId="7AF4E272" w14:textId="77777777" w:rsidR="00865819" w:rsidRPr="00865819" w:rsidRDefault="00865819" w:rsidP="00865819">
            <w:pPr>
              <w:numPr>
                <w:ilvl w:val="0"/>
                <w:numId w:val="4"/>
              </w:numPr>
              <w:spacing w:after="60" w:line="240" w:lineRule="auto"/>
              <w:ind w:left="1008"/>
              <w:contextualSpacing/>
              <w:rPr>
                <w:rFonts w:eastAsia="Times New Roman" w:cstheme="minorHAnsi"/>
                <w:sz w:val="24"/>
                <w:szCs w:val="24"/>
                <w:lang w:eastAsia="en-ID"/>
              </w:rPr>
            </w:pPr>
            <w:proofErr w:type="spellStart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US" w:eastAsia="en-ID"/>
              </w:rPr>
              <w:t>Tujuan</w:t>
            </w:r>
            <w:proofErr w:type="spellEnd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US" w:eastAsia="en-ID"/>
              </w:rPr>
              <w:t xml:space="preserve"> </w:t>
            </w:r>
            <w:proofErr w:type="spellStart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US" w:eastAsia="en-ID"/>
              </w:rPr>
              <w:t>Laporan</w:t>
            </w:r>
            <w:proofErr w:type="spellEnd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US" w:eastAsia="en-ID"/>
              </w:rPr>
              <w:t xml:space="preserve"> </w:t>
            </w:r>
            <w:proofErr w:type="spellStart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US" w:eastAsia="en-ID"/>
              </w:rPr>
              <w:t>Konstektual</w:t>
            </w:r>
            <w:proofErr w:type="spellEnd"/>
          </w:p>
          <w:p w14:paraId="1FA0383D" w14:textId="77777777" w:rsidR="00865819" w:rsidRPr="00865819" w:rsidRDefault="00865819" w:rsidP="00865819">
            <w:pPr>
              <w:numPr>
                <w:ilvl w:val="0"/>
                <w:numId w:val="4"/>
              </w:numPr>
              <w:spacing w:after="60" w:line="240" w:lineRule="auto"/>
              <w:ind w:left="1008"/>
              <w:contextualSpacing/>
              <w:rPr>
                <w:rFonts w:eastAsia="Times New Roman" w:cstheme="minorHAnsi"/>
                <w:sz w:val="24"/>
                <w:szCs w:val="24"/>
                <w:lang w:eastAsia="en-ID"/>
              </w:rPr>
            </w:pPr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US" w:eastAsia="en-ID"/>
              </w:rPr>
              <w:t xml:space="preserve">Ruang </w:t>
            </w:r>
            <w:proofErr w:type="spellStart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US" w:eastAsia="en-ID"/>
              </w:rPr>
              <w:t>Lingkup</w:t>
            </w:r>
            <w:proofErr w:type="spellEnd"/>
          </w:p>
          <w:p w14:paraId="609A3A46" w14:textId="77777777" w:rsidR="00865819" w:rsidRPr="00865819" w:rsidRDefault="00865819" w:rsidP="00865819">
            <w:pPr>
              <w:numPr>
                <w:ilvl w:val="0"/>
                <w:numId w:val="4"/>
              </w:numPr>
              <w:spacing w:after="60" w:line="240" w:lineRule="auto"/>
              <w:ind w:left="1008"/>
              <w:contextualSpacing/>
              <w:rPr>
                <w:rFonts w:eastAsia="Times New Roman" w:cstheme="minorHAnsi"/>
                <w:sz w:val="24"/>
                <w:szCs w:val="24"/>
                <w:lang w:eastAsia="en-ID"/>
              </w:rPr>
            </w:pPr>
            <w:proofErr w:type="spellStart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US" w:eastAsia="en-ID"/>
              </w:rPr>
              <w:t>Metodologi</w:t>
            </w:r>
            <w:proofErr w:type="spellEnd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US" w:eastAsia="en-ID"/>
              </w:rPr>
              <w:t xml:space="preserve"> Proses </w:t>
            </w:r>
            <w:proofErr w:type="spellStart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US" w:eastAsia="en-ID"/>
              </w:rPr>
              <w:t>Pelaporan</w:t>
            </w:r>
            <w:proofErr w:type="spellEnd"/>
          </w:p>
          <w:p w14:paraId="17BA7F86" w14:textId="77777777" w:rsidR="00865819" w:rsidRPr="00865819" w:rsidRDefault="00865819" w:rsidP="00865819">
            <w:pPr>
              <w:numPr>
                <w:ilvl w:val="0"/>
                <w:numId w:val="4"/>
              </w:numPr>
              <w:spacing w:after="60" w:line="240" w:lineRule="auto"/>
              <w:ind w:left="1008"/>
              <w:contextualSpacing/>
              <w:rPr>
                <w:rFonts w:eastAsia="Times New Roman" w:cstheme="minorHAnsi"/>
                <w:sz w:val="24"/>
                <w:szCs w:val="24"/>
                <w:lang w:eastAsia="en-ID"/>
              </w:rPr>
            </w:pPr>
            <w:proofErr w:type="spellStart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US" w:eastAsia="en-ID"/>
              </w:rPr>
              <w:t>Pelaksanaan</w:t>
            </w:r>
            <w:proofErr w:type="spellEnd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US" w:eastAsia="en-ID"/>
              </w:rPr>
              <w:t xml:space="preserve"> EITI di Indonesia</w:t>
            </w:r>
          </w:p>
        </w:tc>
        <w:tc>
          <w:tcPr>
            <w:tcW w:w="3560" w:type="dxa"/>
            <w:tcBorders>
              <w:top w:val="single" w:sz="8" w:space="0" w:color="3494BA"/>
              <w:left w:val="nil"/>
              <w:bottom w:val="single" w:sz="8" w:space="0" w:color="3494BA"/>
              <w:right w:val="single" w:sz="8" w:space="0" w:color="3494BA"/>
            </w:tcBorders>
            <w:shd w:val="clear" w:color="auto" w:fill="E8EFF3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68BB0754" w14:textId="77777777" w:rsidR="00865819" w:rsidRPr="00865819" w:rsidRDefault="00865819" w:rsidP="00865819">
            <w:pPr>
              <w:spacing w:after="0" w:line="240" w:lineRule="auto"/>
              <w:ind w:hanging="288"/>
              <w:rPr>
                <w:rFonts w:eastAsia="Times New Roman" w:cstheme="minorHAnsi"/>
                <w:sz w:val="24"/>
                <w:szCs w:val="24"/>
                <w:lang w:eastAsia="en-ID"/>
              </w:rPr>
            </w:pPr>
          </w:p>
        </w:tc>
      </w:tr>
      <w:tr w:rsidR="00865819" w:rsidRPr="00865819" w14:paraId="1769991A" w14:textId="77777777" w:rsidTr="00865819">
        <w:trPr>
          <w:trHeight w:val="2746"/>
        </w:trPr>
        <w:tc>
          <w:tcPr>
            <w:tcW w:w="1780" w:type="dxa"/>
            <w:tcBorders>
              <w:top w:val="single" w:sz="8" w:space="0" w:color="3494BA"/>
              <w:left w:val="single" w:sz="8" w:space="0" w:color="3494BA"/>
              <w:bottom w:val="single" w:sz="8" w:space="0" w:color="3494BA"/>
              <w:right w:val="nil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42773E2B" w14:textId="77777777" w:rsidR="00865819" w:rsidRPr="00865819" w:rsidRDefault="00865819" w:rsidP="00865819">
            <w:pPr>
              <w:spacing w:after="60" w:line="266" w:lineRule="exact"/>
              <w:rPr>
                <w:rFonts w:eastAsia="Times New Roman" w:cstheme="minorHAnsi"/>
                <w:sz w:val="24"/>
                <w:szCs w:val="24"/>
                <w:lang w:eastAsia="en-ID"/>
              </w:rPr>
            </w:pPr>
            <w:r w:rsidRPr="0086581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24"/>
                <w:szCs w:val="24"/>
                <w:lang w:val="en-US" w:eastAsia="en-ID"/>
              </w:rPr>
              <w:t>Bab II</w:t>
            </w:r>
          </w:p>
          <w:p w14:paraId="7398DF9E" w14:textId="77777777" w:rsidR="00865819" w:rsidRPr="00865819" w:rsidRDefault="00865819" w:rsidP="00865819">
            <w:pPr>
              <w:spacing w:after="60" w:line="240" w:lineRule="auto"/>
              <w:rPr>
                <w:rFonts w:eastAsia="Times New Roman" w:cstheme="minorHAnsi"/>
                <w:sz w:val="24"/>
                <w:szCs w:val="24"/>
                <w:lang w:eastAsia="en-ID"/>
              </w:rPr>
            </w:pPr>
            <w:r w:rsidRPr="0086581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24"/>
                <w:szCs w:val="24"/>
                <w:lang w:val="en-GB" w:eastAsia="en-ID"/>
              </w:rPr>
              <w:t xml:space="preserve">Gambaran </w:t>
            </w:r>
            <w:proofErr w:type="spellStart"/>
            <w:r w:rsidRPr="0086581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24"/>
                <w:szCs w:val="24"/>
                <w:lang w:val="en-GB" w:eastAsia="en-ID"/>
              </w:rPr>
              <w:t>Kegiatan</w:t>
            </w:r>
            <w:proofErr w:type="spellEnd"/>
            <w:r w:rsidRPr="0086581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24"/>
                <w:szCs w:val="24"/>
                <w:lang w:val="en-GB" w:eastAsia="en-ID"/>
              </w:rPr>
              <w:t xml:space="preserve"> </w:t>
            </w:r>
            <w:proofErr w:type="spellStart"/>
            <w:r w:rsidRPr="0086581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24"/>
                <w:szCs w:val="24"/>
                <w:lang w:val="en-GB" w:eastAsia="en-ID"/>
              </w:rPr>
              <w:t>Industri</w:t>
            </w:r>
            <w:proofErr w:type="spellEnd"/>
            <w:r w:rsidRPr="0086581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24"/>
                <w:szCs w:val="24"/>
                <w:lang w:val="en-GB" w:eastAsia="en-ID"/>
              </w:rPr>
              <w:t xml:space="preserve"> </w:t>
            </w:r>
            <w:proofErr w:type="spellStart"/>
            <w:r w:rsidRPr="0086581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24"/>
                <w:szCs w:val="24"/>
                <w:lang w:val="en-GB" w:eastAsia="en-ID"/>
              </w:rPr>
              <w:t>Ekstraktif</w:t>
            </w:r>
            <w:proofErr w:type="spellEnd"/>
            <w:r w:rsidRPr="0086581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24"/>
                <w:szCs w:val="24"/>
                <w:lang w:val="en-GB" w:eastAsia="en-ID"/>
              </w:rPr>
              <w:t xml:space="preserve"> dan </w:t>
            </w:r>
            <w:proofErr w:type="spellStart"/>
            <w:r w:rsidRPr="0086581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24"/>
                <w:szCs w:val="24"/>
                <w:lang w:val="en-GB" w:eastAsia="en-ID"/>
              </w:rPr>
              <w:t>Kerangka</w:t>
            </w:r>
            <w:proofErr w:type="spellEnd"/>
            <w:r w:rsidRPr="0086581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24"/>
                <w:szCs w:val="24"/>
                <w:lang w:val="en-GB" w:eastAsia="en-ID"/>
              </w:rPr>
              <w:t xml:space="preserve"> Hukum </w:t>
            </w:r>
            <w:proofErr w:type="spellStart"/>
            <w:r w:rsidRPr="0086581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24"/>
                <w:szCs w:val="24"/>
                <w:lang w:val="en-GB" w:eastAsia="en-ID"/>
              </w:rPr>
              <w:t>Pengelolaan</w:t>
            </w:r>
            <w:proofErr w:type="spellEnd"/>
            <w:r w:rsidRPr="0086581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24"/>
                <w:szCs w:val="24"/>
                <w:lang w:val="en-GB" w:eastAsia="en-ID"/>
              </w:rPr>
              <w:t xml:space="preserve"> </w:t>
            </w:r>
            <w:proofErr w:type="spellStart"/>
            <w:r w:rsidRPr="0086581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24"/>
                <w:szCs w:val="24"/>
                <w:lang w:val="en-GB" w:eastAsia="en-ID"/>
              </w:rPr>
              <w:t>Industri</w:t>
            </w:r>
            <w:proofErr w:type="spellEnd"/>
            <w:r w:rsidRPr="0086581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24"/>
                <w:szCs w:val="24"/>
                <w:lang w:val="en-GB" w:eastAsia="en-ID"/>
              </w:rPr>
              <w:t xml:space="preserve"> </w:t>
            </w:r>
            <w:proofErr w:type="spellStart"/>
            <w:r w:rsidRPr="0086581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24"/>
                <w:szCs w:val="24"/>
                <w:lang w:val="en-GB" w:eastAsia="en-ID"/>
              </w:rPr>
              <w:t>Ekstraktif</w:t>
            </w:r>
            <w:proofErr w:type="spellEnd"/>
            <w:r w:rsidRPr="0086581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24"/>
                <w:szCs w:val="24"/>
                <w:lang w:val="en-US" w:eastAsia="en-ID"/>
              </w:rPr>
              <w:t xml:space="preserve">  </w:t>
            </w:r>
          </w:p>
        </w:tc>
        <w:tc>
          <w:tcPr>
            <w:tcW w:w="4610" w:type="dxa"/>
            <w:tcBorders>
              <w:top w:val="single" w:sz="8" w:space="0" w:color="3494BA"/>
              <w:left w:val="nil"/>
              <w:bottom w:val="single" w:sz="8" w:space="0" w:color="3494BA"/>
              <w:right w:val="nil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4AC7B519" w14:textId="77777777" w:rsidR="00865819" w:rsidRPr="00865819" w:rsidRDefault="00865819" w:rsidP="00865819">
            <w:pPr>
              <w:spacing w:after="60" w:line="240" w:lineRule="auto"/>
              <w:ind w:left="86"/>
              <w:rPr>
                <w:rFonts w:eastAsia="Times New Roman" w:cstheme="minorHAnsi"/>
                <w:sz w:val="24"/>
                <w:szCs w:val="24"/>
                <w:lang w:eastAsia="en-ID"/>
              </w:rPr>
            </w:pPr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 xml:space="preserve">Gambaran </w:t>
            </w:r>
            <w:proofErr w:type="spellStart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>pokok</w:t>
            </w:r>
            <w:proofErr w:type="spellEnd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 xml:space="preserve"> </w:t>
            </w:r>
            <w:proofErr w:type="spellStart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>kegiatan</w:t>
            </w:r>
            <w:proofErr w:type="spellEnd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 xml:space="preserve"> </w:t>
            </w:r>
            <w:proofErr w:type="spellStart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>industri</w:t>
            </w:r>
            <w:proofErr w:type="spellEnd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 xml:space="preserve"> </w:t>
            </w:r>
            <w:proofErr w:type="spellStart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>ekstraktif</w:t>
            </w:r>
            <w:proofErr w:type="spellEnd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 xml:space="preserve"> </w:t>
            </w:r>
            <w:proofErr w:type="spellStart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>menjelaskan</w:t>
            </w:r>
            <w:proofErr w:type="spellEnd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 xml:space="preserve"> </w:t>
            </w:r>
            <w:proofErr w:type="spellStart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>mengenai</w:t>
            </w:r>
            <w:proofErr w:type="spellEnd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 xml:space="preserve"> </w:t>
            </w:r>
            <w:proofErr w:type="spellStart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>kegiatan</w:t>
            </w:r>
            <w:proofErr w:type="spellEnd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 xml:space="preserve"> dan </w:t>
            </w:r>
            <w:proofErr w:type="spellStart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>instansi</w:t>
            </w:r>
            <w:proofErr w:type="spellEnd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 xml:space="preserve"> yang </w:t>
            </w:r>
            <w:proofErr w:type="spellStart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>terkait</w:t>
            </w:r>
            <w:proofErr w:type="spellEnd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 xml:space="preserve"> </w:t>
            </w:r>
            <w:proofErr w:type="spellStart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>dalam</w:t>
            </w:r>
            <w:proofErr w:type="spellEnd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 xml:space="preserve"> </w:t>
            </w:r>
            <w:proofErr w:type="spellStart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>pengelolaan</w:t>
            </w:r>
            <w:proofErr w:type="spellEnd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 xml:space="preserve"> </w:t>
            </w:r>
            <w:proofErr w:type="spellStart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>industri</w:t>
            </w:r>
            <w:proofErr w:type="spellEnd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 xml:space="preserve"> </w:t>
            </w:r>
            <w:proofErr w:type="spellStart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>ekstraktif</w:t>
            </w:r>
            <w:proofErr w:type="spellEnd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 xml:space="preserve"> di </w:t>
            </w:r>
            <w:proofErr w:type="spellStart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>sektor</w:t>
            </w:r>
            <w:proofErr w:type="spellEnd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 xml:space="preserve"> </w:t>
            </w:r>
            <w:proofErr w:type="spellStart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>Minyak</w:t>
            </w:r>
            <w:proofErr w:type="spellEnd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 xml:space="preserve"> dan Gas </w:t>
            </w:r>
            <w:proofErr w:type="spellStart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>bumi</w:t>
            </w:r>
            <w:proofErr w:type="spellEnd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 xml:space="preserve"> (</w:t>
            </w:r>
            <w:proofErr w:type="spellStart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>Migas</w:t>
            </w:r>
            <w:proofErr w:type="spellEnd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 xml:space="preserve">) dan mineral dan </w:t>
            </w:r>
            <w:proofErr w:type="spellStart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>batubara</w:t>
            </w:r>
            <w:proofErr w:type="spellEnd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 xml:space="preserve"> (</w:t>
            </w:r>
            <w:proofErr w:type="spellStart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>Minerba</w:t>
            </w:r>
            <w:proofErr w:type="spellEnd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>).</w:t>
            </w:r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US" w:eastAsia="en-ID"/>
              </w:rPr>
              <w:t xml:space="preserve"> Dan data </w:t>
            </w:r>
            <w:proofErr w:type="spellStart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US" w:eastAsia="en-ID"/>
              </w:rPr>
              <w:t>dari</w:t>
            </w:r>
            <w:proofErr w:type="spellEnd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US" w:eastAsia="en-ID"/>
              </w:rPr>
              <w:t xml:space="preserve"> Kementerian /Lembaga yang </w:t>
            </w:r>
            <w:proofErr w:type="spellStart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US" w:eastAsia="en-ID"/>
              </w:rPr>
              <w:t>terkait</w:t>
            </w:r>
            <w:proofErr w:type="spellEnd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US" w:eastAsia="en-ID"/>
              </w:rPr>
              <w:t xml:space="preserve"> </w:t>
            </w:r>
            <w:proofErr w:type="spellStart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US" w:eastAsia="en-ID"/>
              </w:rPr>
              <w:t>serta</w:t>
            </w:r>
            <w:proofErr w:type="spellEnd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US" w:eastAsia="en-ID"/>
              </w:rPr>
              <w:t xml:space="preserve"> </w:t>
            </w:r>
            <w:proofErr w:type="spellStart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US" w:eastAsia="en-ID"/>
              </w:rPr>
              <w:t>kewenangannnya</w:t>
            </w:r>
            <w:proofErr w:type="spellEnd"/>
          </w:p>
        </w:tc>
        <w:tc>
          <w:tcPr>
            <w:tcW w:w="3560" w:type="dxa"/>
            <w:tcBorders>
              <w:top w:val="single" w:sz="8" w:space="0" w:color="3494BA"/>
              <w:left w:val="nil"/>
              <w:bottom w:val="single" w:sz="8" w:space="0" w:color="3494BA"/>
              <w:right w:val="single" w:sz="8" w:space="0" w:color="3494BA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6A7B4DEE" w14:textId="77777777" w:rsidR="00865819" w:rsidRPr="00865819" w:rsidRDefault="00865819" w:rsidP="00865819">
            <w:pPr>
              <w:spacing w:after="60" w:line="240" w:lineRule="auto"/>
              <w:ind w:left="86"/>
              <w:rPr>
                <w:rFonts w:eastAsia="Times New Roman" w:cstheme="minorHAnsi"/>
                <w:sz w:val="24"/>
                <w:szCs w:val="24"/>
                <w:lang w:eastAsia="en-ID"/>
              </w:rPr>
            </w:pPr>
            <w:r w:rsidRPr="00865819">
              <w:rPr>
                <w:rFonts w:eastAsiaTheme="minorEastAsia" w:cstheme="minorHAnsi"/>
                <w:color w:val="000000" w:themeColor="dark1"/>
                <w:kern w:val="24"/>
                <w:sz w:val="24"/>
                <w:szCs w:val="24"/>
                <w:lang w:val="en-SG" w:eastAsia="en-ID"/>
              </w:rPr>
              <w:t>2.1 Legal Framework and fiscal regime</w:t>
            </w:r>
          </w:p>
        </w:tc>
      </w:tr>
      <w:tr w:rsidR="00865819" w:rsidRPr="00865819" w14:paraId="1DB82863" w14:textId="77777777" w:rsidTr="00865819">
        <w:trPr>
          <w:trHeight w:val="2651"/>
        </w:trPr>
        <w:tc>
          <w:tcPr>
            <w:tcW w:w="1780" w:type="dxa"/>
            <w:tcBorders>
              <w:top w:val="single" w:sz="8" w:space="0" w:color="3494BA"/>
              <w:left w:val="single" w:sz="8" w:space="0" w:color="3494BA"/>
              <w:bottom w:val="single" w:sz="8" w:space="0" w:color="3494BA"/>
              <w:right w:val="nil"/>
            </w:tcBorders>
            <w:shd w:val="clear" w:color="auto" w:fill="E8EFF3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492334AA" w14:textId="77777777" w:rsidR="00865819" w:rsidRPr="00865819" w:rsidRDefault="00865819" w:rsidP="008658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D"/>
              </w:rPr>
            </w:pPr>
            <w:r w:rsidRPr="0086581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24"/>
                <w:szCs w:val="24"/>
                <w:lang w:val="en-GB" w:eastAsia="en-ID"/>
              </w:rPr>
              <w:t xml:space="preserve">Bab III </w:t>
            </w:r>
          </w:p>
          <w:p w14:paraId="66A83CC4" w14:textId="77777777" w:rsidR="00865819" w:rsidRPr="00865819" w:rsidRDefault="00865819" w:rsidP="008658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D"/>
              </w:rPr>
            </w:pPr>
            <w:proofErr w:type="spellStart"/>
            <w:r w:rsidRPr="0086581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24"/>
                <w:szCs w:val="24"/>
                <w:lang w:val="en-GB" w:eastAsia="en-ID"/>
              </w:rPr>
              <w:t>Implementasi</w:t>
            </w:r>
            <w:proofErr w:type="spellEnd"/>
            <w:r w:rsidRPr="0086581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24"/>
                <w:szCs w:val="24"/>
                <w:lang w:val="en-GB" w:eastAsia="en-ID"/>
              </w:rPr>
              <w:t xml:space="preserve"> </w:t>
            </w:r>
            <w:proofErr w:type="spellStart"/>
            <w:r w:rsidRPr="0086581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24"/>
                <w:szCs w:val="24"/>
                <w:lang w:val="en-GB" w:eastAsia="en-ID"/>
              </w:rPr>
              <w:t>Kegiatan</w:t>
            </w:r>
            <w:proofErr w:type="spellEnd"/>
            <w:r w:rsidRPr="0086581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24"/>
                <w:szCs w:val="24"/>
                <w:lang w:val="en-GB" w:eastAsia="en-ID"/>
              </w:rPr>
              <w:t xml:space="preserve"> </w:t>
            </w:r>
            <w:proofErr w:type="spellStart"/>
            <w:r w:rsidRPr="0086581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24"/>
                <w:szCs w:val="24"/>
                <w:lang w:val="en-GB" w:eastAsia="en-ID"/>
              </w:rPr>
              <w:t>Industri</w:t>
            </w:r>
            <w:proofErr w:type="spellEnd"/>
            <w:r w:rsidRPr="0086581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24"/>
                <w:szCs w:val="24"/>
                <w:lang w:val="en-GB" w:eastAsia="en-ID"/>
              </w:rPr>
              <w:t xml:space="preserve"> </w:t>
            </w:r>
            <w:proofErr w:type="spellStart"/>
            <w:r w:rsidRPr="0086581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24"/>
                <w:szCs w:val="24"/>
                <w:lang w:val="en-GB" w:eastAsia="en-ID"/>
              </w:rPr>
              <w:t>Ekstraktif</w:t>
            </w:r>
            <w:proofErr w:type="spellEnd"/>
            <w:r w:rsidRPr="0086581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24"/>
                <w:szCs w:val="24"/>
                <w:lang w:val="en-GB" w:eastAsia="en-ID"/>
              </w:rPr>
              <w:t xml:space="preserve"> </w:t>
            </w:r>
          </w:p>
          <w:p w14:paraId="5F301154" w14:textId="77777777" w:rsidR="00865819" w:rsidRPr="00865819" w:rsidRDefault="00865819" w:rsidP="00865819">
            <w:pPr>
              <w:spacing w:after="60" w:line="240" w:lineRule="auto"/>
              <w:rPr>
                <w:rFonts w:eastAsia="Times New Roman" w:cstheme="minorHAnsi"/>
                <w:sz w:val="24"/>
                <w:szCs w:val="24"/>
                <w:lang w:eastAsia="en-ID"/>
              </w:rPr>
            </w:pPr>
            <w:r w:rsidRPr="0086581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24"/>
                <w:szCs w:val="24"/>
                <w:lang w:val="id-ID" w:eastAsia="en-ID"/>
              </w:rPr>
              <w:t xml:space="preserve"> </w:t>
            </w:r>
          </w:p>
        </w:tc>
        <w:tc>
          <w:tcPr>
            <w:tcW w:w="4610" w:type="dxa"/>
            <w:tcBorders>
              <w:top w:val="single" w:sz="8" w:space="0" w:color="3494BA"/>
              <w:left w:val="nil"/>
              <w:bottom w:val="single" w:sz="8" w:space="0" w:color="3494BA"/>
              <w:right w:val="nil"/>
            </w:tcBorders>
            <w:shd w:val="clear" w:color="auto" w:fill="E8EFF3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5215B375" w14:textId="77777777" w:rsidR="00865819" w:rsidRPr="00865819" w:rsidRDefault="00865819" w:rsidP="00865819">
            <w:pPr>
              <w:spacing w:after="60" w:line="256" w:lineRule="auto"/>
              <w:rPr>
                <w:rFonts w:eastAsia="Times New Roman" w:cstheme="minorHAnsi"/>
                <w:sz w:val="24"/>
                <w:szCs w:val="24"/>
                <w:lang w:eastAsia="en-ID"/>
              </w:rPr>
            </w:pPr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US" w:eastAsia="en-ID"/>
              </w:rPr>
              <w:t> </w:t>
            </w:r>
          </w:p>
          <w:p w14:paraId="25927795" w14:textId="77777777" w:rsidR="00865819" w:rsidRPr="00865819" w:rsidRDefault="00865819" w:rsidP="00865819">
            <w:pPr>
              <w:spacing w:after="60" w:line="240" w:lineRule="auto"/>
              <w:rPr>
                <w:rFonts w:eastAsia="Times New Roman" w:cstheme="minorHAnsi"/>
                <w:sz w:val="24"/>
                <w:szCs w:val="24"/>
                <w:lang w:eastAsia="en-ID"/>
              </w:rPr>
            </w:pPr>
            <w:proofErr w:type="spellStart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>Terkait</w:t>
            </w:r>
            <w:proofErr w:type="spellEnd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 xml:space="preserve"> </w:t>
            </w:r>
            <w:proofErr w:type="spellStart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>kegiatan</w:t>
            </w:r>
            <w:proofErr w:type="spellEnd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 xml:space="preserve"> yang </w:t>
            </w:r>
            <w:proofErr w:type="spellStart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>dilakukan</w:t>
            </w:r>
            <w:proofErr w:type="spellEnd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 xml:space="preserve"> </w:t>
            </w:r>
            <w:proofErr w:type="spellStart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>dalam</w:t>
            </w:r>
            <w:proofErr w:type="spellEnd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 xml:space="preserve"> </w:t>
            </w:r>
            <w:proofErr w:type="spellStart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>industri</w:t>
            </w:r>
            <w:proofErr w:type="spellEnd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 xml:space="preserve"> </w:t>
            </w:r>
            <w:proofErr w:type="spellStart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>ekstraktif</w:t>
            </w:r>
            <w:proofErr w:type="spellEnd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 xml:space="preserve"> </w:t>
            </w:r>
            <w:proofErr w:type="spellStart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>dengan</w:t>
            </w:r>
            <w:proofErr w:type="spellEnd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 xml:space="preserve"> </w:t>
            </w:r>
            <w:proofErr w:type="spellStart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>pembagian</w:t>
            </w:r>
            <w:proofErr w:type="spellEnd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 xml:space="preserve"> </w:t>
            </w:r>
            <w:proofErr w:type="spellStart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>sektor</w:t>
            </w:r>
            <w:proofErr w:type="spellEnd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 xml:space="preserve"> </w:t>
            </w:r>
            <w:proofErr w:type="spellStart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>minyak</w:t>
            </w:r>
            <w:proofErr w:type="spellEnd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 xml:space="preserve"> dan gas </w:t>
            </w:r>
            <w:proofErr w:type="spellStart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>bumi</w:t>
            </w:r>
            <w:proofErr w:type="spellEnd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 xml:space="preserve"> dan </w:t>
            </w:r>
            <w:proofErr w:type="spellStart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>sektor</w:t>
            </w:r>
            <w:proofErr w:type="spellEnd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 xml:space="preserve"> mineral </w:t>
            </w:r>
            <w:proofErr w:type="spellStart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>batubara</w:t>
            </w:r>
            <w:proofErr w:type="spellEnd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 xml:space="preserve">. Adapun </w:t>
            </w:r>
            <w:proofErr w:type="spellStart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>katagori</w:t>
            </w:r>
            <w:proofErr w:type="spellEnd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 xml:space="preserve"> </w:t>
            </w:r>
            <w:proofErr w:type="spellStart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>informasi</w:t>
            </w:r>
            <w:proofErr w:type="spellEnd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 xml:space="preserve"> </w:t>
            </w:r>
            <w:proofErr w:type="spellStart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>dibagi</w:t>
            </w:r>
            <w:proofErr w:type="spellEnd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 xml:space="preserve"> </w:t>
            </w:r>
            <w:proofErr w:type="spellStart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>menjadi</w:t>
            </w:r>
            <w:proofErr w:type="spellEnd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 xml:space="preserve"> 2 </w:t>
            </w:r>
            <w:proofErr w:type="spellStart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>yaitu</w:t>
            </w:r>
            <w:proofErr w:type="spellEnd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 xml:space="preserve">: </w:t>
            </w:r>
            <w:proofErr w:type="spellStart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>pertama</w:t>
            </w:r>
            <w:proofErr w:type="spellEnd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 xml:space="preserve"> proses </w:t>
            </w:r>
            <w:proofErr w:type="spellStart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>perizinan</w:t>
            </w:r>
            <w:proofErr w:type="spellEnd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 xml:space="preserve"> dan </w:t>
            </w:r>
            <w:proofErr w:type="spellStart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>kedua</w:t>
            </w:r>
            <w:proofErr w:type="spellEnd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 xml:space="preserve"> </w:t>
            </w:r>
            <w:proofErr w:type="spellStart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>adalah</w:t>
            </w:r>
            <w:proofErr w:type="spellEnd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 xml:space="preserve"> </w:t>
            </w:r>
            <w:proofErr w:type="spellStart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>kontribusi</w:t>
            </w:r>
            <w:proofErr w:type="spellEnd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 xml:space="preserve"> </w:t>
            </w:r>
            <w:proofErr w:type="spellStart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>sektor</w:t>
            </w:r>
            <w:proofErr w:type="spellEnd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 xml:space="preserve"> </w:t>
            </w:r>
            <w:proofErr w:type="spellStart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>industri</w:t>
            </w:r>
            <w:proofErr w:type="spellEnd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 xml:space="preserve"> </w:t>
            </w:r>
            <w:proofErr w:type="spellStart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>ekstraktif</w:t>
            </w:r>
            <w:proofErr w:type="spellEnd"/>
            <w:r w:rsidRPr="00865819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  <w:lang w:val="en-GB" w:eastAsia="en-ID"/>
              </w:rPr>
              <w:t xml:space="preserve">. </w:t>
            </w:r>
          </w:p>
        </w:tc>
        <w:tc>
          <w:tcPr>
            <w:tcW w:w="3560" w:type="dxa"/>
            <w:tcBorders>
              <w:top w:val="single" w:sz="8" w:space="0" w:color="3494BA"/>
              <w:left w:val="nil"/>
              <w:bottom w:val="single" w:sz="8" w:space="0" w:color="3494BA"/>
              <w:right w:val="single" w:sz="8" w:space="0" w:color="3494BA"/>
            </w:tcBorders>
            <w:shd w:val="clear" w:color="auto" w:fill="E8EFF3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7F024E11" w14:textId="77777777" w:rsidR="00865819" w:rsidRPr="00865819" w:rsidRDefault="00865819" w:rsidP="00865819">
            <w:pPr>
              <w:spacing w:after="60" w:line="240" w:lineRule="auto"/>
              <w:ind w:left="86"/>
              <w:rPr>
                <w:rFonts w:eastAsia="Times New Roman" w:cstheme="minorHAnsi"/>
                <w:sz w:val="24"/>
                <w:szCs w:val="24"/>
                <w:lang w:eastAsia="en-ID"/>
              </w:rPr>
            </w:pPr>
            <w:r w:rsidRPr="00865819">
              <w:rPr>
                <w:rFonts w:eastAsiaTheme="minorEastAsia" w:cstheme="minorHAnsi"/>
                <w:color w:val="000000" w:themeColor="dark1"/>
                <w:kern w:val="24"/>
                <w:sz w:val="24"/>
                <w:szCs w:val="24"/>
                <w:lang w:val="en-SG" w:eastAsia="en-ID"/>
              </w:rPr>
              <w:t>2.2 Contract and license allocations</w:t>
            </w:r>
          </w:p>
          <w:p w14:paraId="1679D232" w14:textId="77777777" w:rsidR="00865819" w:rsidRPr="00865819" w:rsidRDefault="00865819" w:rsidP="00865819">
            <w:pPr>
              <w:spacing w:after="60" w:line="240" w:lineRule="auto"/>
              <w:ind w:left="86"/>
              <w:rPr>
                <w:rFonts w:eastAsia="Times New Roman" w:cstheme="minorHAnsi"/>
                <w:sz w:val="24"/>
                <w:szCs w:val="24"/>
                <w:lang w:eastAsia="en-ID"/>
              </w:rPr>
            </w:pPr>
            <w:r w:rsidRPr="00865819">
              <w:rPr>
                <w:rFonts w:eastAsiaTheme="minorEastAsia" w:cstheme="minorHAnsi"/>
                <w:color w:val="000000" w:themeColor="dark1"/>
                <w:kern w:val="24"/>
                <w:sz w:val="24"/>
                <w:szCs w:val="24"/>
                <w:lang w:val="en-SG" w:eastAsia="en-ID"/>
              </w:rPr>
              <w:t>2.3 Register of licenses</w:t>
            </w:r>
          </w:p>
          <w:p w14:paraId="5A8190EB" w14:textId="77777777" w:rsidR="00865819" w:rsidRPr="00865819" w:rsidRDefault="00865819" w:rsidP="00865819">
            <w:pPr>
              <w:spacing w:after="60" w:line="240" w:lineRule="auto"/>
              <w:ind w:left="86"/>
              <w:rPr>
                <w:rFonts w:eastAsia="Times New Roman" w:cstheme="minorHAnsi"/>
                <w:sz w:val="24"/>
                <w:szCs w:val="24"/>
                <w:lang w:eastAsia="en-ID"/>
              </w:rPr>
            </w:pPr>
            <w:r w:rsidRPr="00865819">
              <w:rPr>
                <w:rFonts w:eastAsiaTheme="minorEastAsia" w:cstheme="minorHAnsi"/>
                <w:color w:val="000000" w:themeColor="dark1"/>
                <w:kern w:val="24"/>
                <w:sz w:val="24"/>
                <w:szCs w:val="24"/>
                <w:lang w:val="en-SG" w:eastAsia="en-ID"/>
              </w:rPr>
              <w:t>2.4 Contracts</w:t>
            </w:r>
          </w:p>
          <w:p w14:paraId="37A16F86" w14:textId="77777777" w:rsidR="00865819" w:rsidRPr="00865819" w:rsidRDefault="00865819" w:rsidP="00865819">
            <w:pPr>
              <w:spacing w:after="60" w:line="240" w:lineRule="auto"/>
              <w:ind w:left="86"/>
              <w:rPr>
                <w:rFonts w:eastAsia="Times New Roman" w:cstheme="minorHAnsi"/>
                <w:sz w:val="24"/>
                <w:szCs w:val="24"/>
                <w:lang w:eastAsia="en-ID"/>
              </w:rPr>
            </w:pPr>
            <w:r w:rsidRPr="00865819">
              <w:rPr>
                <w:rFonts w:eastAsiaTheme="minorEastAsia" w:cstheme="minorHAnsi"/>
                <w:color w:val="000000" w:themeColor="dark1"/>
                <w:kern w:val="24"/>
                <w:sz w:val="24"/>
                <w:szCs w:val="24"/>
                <w:lang w:val="en-SG" w:eastAsia="en-ID"/>
              </w:rPr>
              <w:t>3.1 Exploration</w:t>
            </w:r>
          </w:p>
          <w:p w14:paraId="47402D96" w14:textId="77777777" w:rsidR="00865819" w:rsidRPr="00865819" w:rsidRDefault="00865819" w:rsidP="00865819">
            <w:pPr>
              <w:spacing w:after="60" w:line="240" w:lineRule="auto"/>
              <w:ind w:left="86"/>
              <w:rPr>
                <w:rFonts w:eastAsia="Times New Roman" w:cstheme="minorHAnsi"/>
                <w:sz w:val="24"/>
                <w:szCs w:val="24"/>
                <w:lang w:eastAsia="en-ID"/>
              </w:rPr>
            </w:pPr>
            <w:r w:rsidRPr="00865819">
              <w:rPr>
                <w:rFonts w:eastAsiaTheme="minorEastAsia" w:cstheme="minorHAnsi"/>
                <w:color w:val="000000" w:themeColor="dark1"/>
                <w:kern w:val="24"/>
                <w:sz w:val="24"/>
                <w:szCs w:val="24"/>
                <w:lang w:val="en-SG" w:eastAsia="en-ID"/>
              </w:rPr>
              <w:t>3.2 Production</w:t>
            </w:r>
          </w:p>
          <w:p w14:paraId="0421BF65" w14:textId="77777777" w:rsidR="00865819" w:rsidRPr="00865819" w:rsidRDefault="00865819" w:rsidP="00865819">
            <w:pPr>
              <w:spacing w:after="60" w:line="240" w:lineRule="auto"/>
              <w:ind w:left="86"/>
              <w:rPr>
                <w:rFonts w:eastAsia="Times New Roman" w:cstheme="minorHAnsi"/>
                <w:sz w:val="24"/>
                <w:szCs w:val="24"/>
                <w:lang w:eastAsia="en-ID"/>
              </w:rPr>
            </w:pPr>
            <w:r w:rsidRPr="00865819">
              <w:rPr>
                <w:rFonts w:eastAsiaTheme="minorEastAsia" w:cstheme="minorHAnsi"/>
                <w:color w:val="000000" w:themeColor="dark1"/>
                <w:kern w:val="24"/>
                <w:sz w:val="24"/>
                <w:szCs w:val="24"/>
                <w:lang w:val="en-SG" w:eastAsia="en-ID"/>
              </w:rPr>
              <w:t>3.3 Exports</w:t>
            </w:r>
          </w:p>
        </w:tc>
      </w:tr>
    </w:tbl>
    <w:p w14:paraId="226D03C0" w14:textId="49E80EC0" w:rsidR="00865819" w:rsidRPr="00865819" w:rsidRDefault="00865819">
      <w:pPr>
        <w:rPr>
          <w:rFonts w:cstheme="minorHAnsi"/>
          <w:sz w:val="24"/>
          <w:szCs w:val="24"/>
        </w:rPr>
      </w:pPr>
    </w:p>
    <w:p w14:paraId="668ABB0F" w14:textId="73370A15" w:rsidR="00865819" w:rsidRPr="00865819" w:rsidRDefault="00865819">
      <w:pPr>
        <w:rPr>
          <w:rFonts w:cstheme="minorHAnsi"/>
          <w:sz w:val="24"/>
          <w:szCs w:val="24"/>
        </w:rPr>
      </w:pPr>
    </w:p>
    <w:p w14:paraId="218ACD74" w14:textId="64F89E80" w:rsidR="00865819" w:rsidRPr="00865819" w:rsidRDefault="00865819">
      <w:pPr>
        <w:rPr>
          <w:rFonts w:cstheme="minorHAnsi"/>
          <w:sz w:val="24"/>
          <w:szCs w:val="24"/>
        </w:rPr>
      </w:pPr>
    </w:p>
    <w:p w14:paraId="30E579A8" w14:textId="6E78DDBF" w:rsidR="00865819" w:rsidRPr="00865819" w:rsidRDefault="00865819">
      <w:pPr>
        <w:rPr>
          <w:rFonts w:cstheme="minorHAnsi"/>
          <w:sz w:val="24"/>
          <w:szCs w:val="24"/>
        </w:rPr>
      </w:pPr>
    </w:p>
    <w:p w14:paraId="2DDFDFAD" w14:textId="0094A9EC" w:rsidR="00865819" w:rsidRPr="00865819" w:rsidRDefault="00865819">
      <w:pPr>
        <w:rPr>
          <w:rFonts w:cstheme="minorHAnsi"/>
          <w:sz w:val="24"/>
          <w:szCs w:val="24"/>
        </w:rPr>
      </w:pPr>
    </w:p>
    <w:p w14:paraId="62476D71" w14:textId="693E766B" w:rsidR="00865819" w:rsidRPr="00865819" w:rsidRDefault="00865819">
      <w:pPr>
        <w:rPr>
          <w:rFonts w:cstheme="minorHAnsi"/>
          <w:sz w:val="24"/>
          <w:szCs w:val="24"/>
        </w:rPr>
      </w:pPr>
    </w:p>
    <w:p w14:paraId="1C51E188" w14:textId="0C45DF26" w:rsidR="00865819" w:rsidRPr="00865819" w:rsidRDefault="00865819">
      <w:pPr>
        <w:rPr>
          <w:rFonts w:cstheme="minorHAnsi"/>
          <w:sz w:val="24"/>
          <w:szCs w:val="24"/>
        </w:rPr>
      </w:pPr>
    </w:p>
    <w:p w14:paraId="6F8E65E1" w14:textId="44E767F7" w:rsidR="00865819" w:rsidRPr="00865819" w:rsidRDefault="00865819">
      <w:pPr>
        <w:rPr>
          <w:rFonts w:cstheme="minorHAnsi"/>
          <w:sz w:val="24"/>
          <w:szCs w:val="24"/>
        </w:rPr>
      </w:pPr>
    </w:p>
    <w:tbl>
      <w:tblPr>
        <w:tblW w:w="93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9"/>
        <w:gridCol w:w="4312"/>
        <w:gridCol w:w="3343"/>
      </w:tblGrid>
      <w:tr w:rsidR="00865819" w:rsidRPr="00865819" w14:paraId="7A45EAB8" w14:textId="77777777" w:rsidTr="00865819">
        <w:trPr>
          <w:trHeight w:val="400"/>
        </w:trPr>
        <w:tc>
          <w:tcPr>
            <w:tcW w:w="1739" w:type="dxa"/>
            <w:tcBorders>
              <w:top w:val="single" w:sz="8" w:space="0" w:color="3494BA"/>
              <w:left w:val="single" w:sz="8" w:space="0" w:color="3494BA"/>
              <w:bottom w:val="single" w:sz="8" w:space="0" w:color="3494BA"/>
              <w:right w:val="nil"/>
            </w:tcBorders>
            <w:shd w:val="clear" w:color="auto" w:fill="3494BA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204576C7" w14:textId="77777777" w:rsidR="00865819" w:rsidRPr="00865819" w:rsidRDefault="00865819" w:rsidP="00865819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  <w:lang w:eastAsia="en-ID"/>
              </w:rPr>
            </w:pPr>
            <w:r w:rsidRPr="00865819">
              <w:rPr>
                <w:rFonts w:eastAsia="Times New Roman" w:cstheme="minorHAnsi"/>
                <w:b/>
                <w:bCs/>
                <w:color w:val="FFFFFF"/>
                <w:kern w:val="24"/>
                <w:sz w:val="24"/>
                <w:szCs w:val="24"/>
                <w:lang w:val="en-SG" w:eastAsia="en-ID"/>
              </w:rPr>
              <w:lastRenderedPageBreak/>
              <w:t>Bab</w:t>
            </w:r>
          </w:p>
        </w:tc>
        <w:tc>
          <w:tcPr>
            <w:tcW w:w="4312" w:type="dxa"/>
            <w:tcBorders>
              <w:top w:val="single" w:sz="8" w:space="0" w:color="3494BA"/>
              <w:left w:val="nil"/>
              <w:bottom w:val="single" w:sz="8" w:space="0" w:color="3494BA"/>
              <w:right w:val="nil"/>
            </w:tcBorders>
            <w:shd w:val="clear" w:color="auto" w:fill="3494BA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23EA827E" w14:textId="77777777" w:rsidR="00865819" w:rsidRPr="00865819" w:rsidRDefault="00865819" w:rsidP="00865819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  <w:lang w:eastAsia="en-ID"/>
              </w:rPr>
            </w:pPr>
            <w:r w:rsidRPr="00865819">
              <w:rPr>
                <w:rFonts w:eastAsia="Times New Roman" w:cstheme="minorHAnsi"/>
                <w:b/>
                <w:bCs/>
                <w:color w:val="FFFFFF"/>
                <w:kern w:val="24"/>
                <w:sz w:val="24"/>
                <w:szCs w:val="24"/>
                <w:lang w:val="en-US" w:eastAsia="en-ID"/>
              </w:rPr>
              <w:t xml:space="preserve">Ruang </w:t>
            </w:r>
            <w:proofErr w:type="spellStart"/>
            <w:r w:rsidRPr="00865819">
              <w:rPr>
                <w:rFonts w:eastAsia="Times New Roman" w:cstheme="minorHAnsi"/>
                <w:b/>
                <w:bCs/>
                <w:color w:val="FFFFFF"/>
                <w:kern w:val="24"/>
                <w:sz w:val="24"/>
                <w:szCs w:val="24"/>
                <w:lang w:val="en-US" w:eastAsia="en-ID"/>
              </w:rPr>
              <w:t>Lingkup</w:t>
            </w:r>
            <w:proofErr w:type="spellEnd"/>
            <w:r w:rsidRPr="00865819">
              <w:rPr>
                <w:rFonts w:eastAsia="Times New Roman" w:cstheme="minorHAnsi"/>
                <w:b/>
                <w:bCs/>
                <w:color w:val="FFFFFF"/>
                <w:kern w:val="24"/>
                <w:sz w:val="24"/>
                <w:szCs w:val="24"/>
                <w:lang w:val="en-US" w:eastAsia="en-ID"/>
              </w:rPr>
              <w:t xml:space="preserve"> </w:t>
            </w:r>
            <w:proofErr w:type="spellStart"/>
            <w:r w:rsidRPr="00865819">
              <w:rPr>
                <w:rFonts w:eastAsia="Times New Roman" w:cstheme="minorHAnsi"/>
                <w:b/>
                <w:bCs/>
                <w:color w:val="FFFFFF"/>
                <w:kern w:val="24"/>
                <w:sz w:val="24"/>
                <w:szCs w:val="24"/>
                <w:lang w:val="en-US" w:eastAsia="en-ID"/>
              </w:rPr>
              <w:t>Umum</w:t>
            </w:r>
            <w:proofErr w:type="spellEnd"/>
          </w:p>
        </w:tc>
        <w:tc>
          <w:tcPr>
            <w:tcW w:w="3343" w:type="dxa"/>
            <w:tcBorders>
              <w:top w:val="single" w:sz="8" w:space="0" w:color="3494BA"/>
              <w:left w:val="nil"/>
              <w:bottom w:val="single" w:sz="8" w:space="0" w:color="3494BA"/>
              <w:right w:val="single" w:sz="8" w:space="0" w:color="3494BA"/>
            </w:tcBorders>
            <w:shd w:val="clear" w:color="auto" w:fill="3494BA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769CD936" w14:textId="77777777" w:rsidR="00865819" w:rsidRPr="00865819" w:rsidRDefault="00865819" w:rsidP="00865819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  <w:lang w:eastAsia="en-ID"/>
              </w:rPr>
            </w:pPr>
            <w:proofErr w:type="spellStart"/>
            <w:r w:rsidRPr="00865819">
              <w:rPr>
                <w:rFonts w:eastAsia="Times New Roman" w:cstheme="minorHAnsi"/>
                <w:b/>
                <w:bCs/>
                <w:color w:val="FFFFFF"/>
                <w:kern w:val="24"/>
                <w:sz w:val="24"/>
                <w:szCs w:val="24"/>
                <w:lang w:val="en-US" w:eastAsia="en-ID"/>
              </w:rPr>
              <w:t>Standar</w:t>
            </w:r>
            <w:proofErr w:type="spellEnd"/>
            <w:r w:rsidRPr="00865819">
              <w:rPr>
                <w:rFonts w:eastAsia="Times New Roman" w:cstheme="minorHAnsi"/>
                <w:b/>
                <w:bCs/>
                <w:color w:val="FFFFFF"/>
                <w:kern w:val="24"/>
                <w:sz w:val="24"/>
                <w:szCs w:val="24"/>
                <w:lang w:val="en-US" w:eastAsia="en-ID"/>
              </w:rPr>
              <w:t xml:space="preserve"> EITI 2019</w:t>
            </w:r>
          </w:p>
        </w:tc>
      </w:tr>
      <w:tr w:rsidR="00865819" w:rsidRPr="00865819" w14:paraId="473210BD" w14:textId="77777777" w:rsidTr="00865819">
        <w:trPr>
          <w:trHeight w:val="1960"/>
        </w:trPr>
        <w:tc>
          <w:tcPr>
            <w:tcW w:w="1739" w:type="dxa"/>
            <w:tcBorders>
              <w:top w:val="single" w:sz="8" w:space="0" w:color="3494BA"/>
              <w:left w:val="single" w:sz="8" w:space="0" w:color="3494BA"/>
              <w:bottom w:val="single" w:sz="8" w:space="0" w:color="3494BA"/>
              <w:right w:val="nil"/>
            </w:tcBorders>
            <w:shd w:val="clear" w:color="auto" w:fill="E8EFF3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674A89A8" w14:textId="77777777" w:rsidR="00865819" w:rsidRPr="00865819" w:rsidRDefault="00865819" w:rsidP="00865819">
            <w:pPr>
              <w:spacing w:after="60" w:line="240" w:lineRule="auto"/>
              <w:ind w:left="86"/>
              <w:rPr>
                <w:rFonts w:eastAsia="Times New Roman" w:cstheme="minorHAnsi"/>
                <w:sz w:val="24"/>
                <w:szCs w:val="24"/>
                <w:lang w:eastAsia="en-ID"/>
              </w:rPr>
            </w:pPr>
            <w:r w:rsidRPr="00865819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val="en-GB" w:eastAsia="en-ID"/>
              </w:rPr>
              <w:t xml:space="preserve">Bab IV </w:t>
            </w:r>
            <w:proofErr w:type="spellStart"/>
            <w:r w:rsidRPr="00865819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val="en-GB" w:eastAsia="en-ID"/>
              </w:rPr>
              <w:t>Penerimaan</w:t>
            </w:r>
            <w:proofErr w:type="spellEnd"/>
            <w:r w:rsidRPr="00865819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val="en-GB" w:eastAsia="en-ID"/>
              </w:rPr>
              <w:t xml:space="preserve"> dan </w:t>
            </w:r>
            <w:proofErr w:type="spellStart"/>
            <w:r w:rsidRPr="00865819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val="en-GB" w:eastAsia="en-ID"/>
              </w:rPr>
              <w:t>Alokasi</w:t>
            </w:r>
            <w:proofErr w:type="spellEnd"/>
            <w:r w:rsidRPr="00865819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val="en-GB" w:eastAsia="en-ID"/>
              </w:rPr>
              <w:t xml:space="preserve"> </w:t>
            </w:r>
            <w:proofErr w:type="spellStart"/>
            <w:r w:rsidRPr="00865819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val="en-GB" w:eastAsia="en-ID"/>
              </w:rPr>
              <w:t>Pendapatan</w:t>
            </w:r>
            <w:proofErr w:type="spellEnd"/>
            <w:r w:rsidRPr="00865819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val="en-GB" w:eastAsia="en-ID"/>
              </w:rPr>
              <w:t xml:space="preserve"> Negara</w:t>
            </w:r>
          </w:p>
        </w:tc>
        <w:tc>
          <w:tcPr>
            <w:tcW w:w="4312" w:type="dxa"/>
            <w:tcBorders>
              <w:top w:val="single" w:sz="8" w:space="0" w:color="3494BA"/>
              <w:left w:val="nil"/>
              <w:bottom w:val="single" w:sz="8" w:space="0" w:color="3494BA"/>
              <w:right w:val="nil"/>
            </w:tcBorders>
            <w:shd w:val="clear" w:color="auto" w:fill="E8EFF3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318FD2C4" w14:textId="77777777" w:rsidR="00865819" w:rsidRPr="00865819" w:rsidRDefault="00865819" w:rsidP="008658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D"/>
              </w:rPr>
            </w:pPr>
            <w:proofErr w:type="spellStart"/>
            <w:r w:rsidRPr="00865819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GB" w:eastAsia="en-ID"/>
              </w:rPr>
              <w:t>Informasi</w:t>
            </w:r>
            <w:proofErr w:type="spellEnd"/>
            <w:r w:rsidRPr="00865819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GB" w:eastAsia="en-ID"/>
              </w:rPr>
              <w:t xml:space="preserve"> </w:t>
            </w:r>
            <w:proofErr w:type="spellStart"/>
            <w:r w:rsidRPr="00865819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GB" w:eastAsia="en-ID"/>
              </w:rPr>
              <w:t>terdiri</w:t>
            </w:r>
            <w:proofErr w:type="spellEnd"/>
            <w:r w:rsidRPr="00865819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GB" w:eastAsia="en-ID"/>
              </w:rPr>
              <w:t>:</w:t>
            </w:r>
          </w:p>
          <w:p w14:paraId="75956FC8" w14:textId="77777777" w:rsidR="00865819" w:rsidRPr="00865819" w:rsidRDefault="00865819" w:rsidP="00865819">
            <w:pPr>
              <w:numPr>
                <w:ilvl w:val="0"/>
                <w:numId w:val="5"/>
              </w:numPr>
              <w:spacing w:after="0" w:line="240" w:lineRule="auto"/>
              <w:ind w:left="1166"/>
              <w:contextualSpacing/>
              <w:rPr>
                <w:rFonts w:eastAsia="Times New Roman" w:cstheme="minorHAnsi"/>
                <w:sz w:val="24"/>
                <w:szCs w:val="24"/>
                <w:lang w:eastAsia="en-ID"/>
              </w:rPr>
            </w:pPr>
            <w:proofErr w:type="spellStart"/>
            <w:r w:rsidRPr="00865819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GB" w:eastAsia="en-ID"/>
              </w:rPr>
              <w:t>Komposisi</w:t>
            </w:r>
            <w:proofErr w:type="spellEnd"/>
            <w:r w:rsidRPr="00865819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GB" w:eastAsia="en-ID"/>
              </w:rPr>
              <w:t xml:space="preserve"> </w:t>
            </w:r>
            <w:proofErr w:type="spellStart"/>
            <w:r w:rsidRPr="00865819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GB" w:eastAsia="en-ID"/>
              </w:rPr>
              <w:t>Realisasi</w:t>
            </w:r>
            <w:proofErr w:type="spellEnd"/>
            <w:r w:rsidRPr="00865819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GB" w:eastAsia="en-ID"/>
              </w:rPr>
              <w:t xml:space="preserve"> </w:t>
            </w:r>
            <w:proofErr w:type="spellStart"/>
            <w:r w:rsidRPr="00865819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GB" w:eastAsia="en-ID"/>
              </w:rPr>
              <w:t>Pendapatan</w:t>
            </w:r>
            <w:proofErr w:type="spellEnd"/>
            <w:r w:rsidRPr="00865819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GB" w:eastAsia="en-ID"/>
              </w:rPr>
              <w:t xml:space="preserve"> Negara,</w:t>
            </w:r>
          </w:p>
          <w:p w14:paraId="00EE4FE9" w14:textId="77777777" w:rsidR="00865819" w:rsidRPr="00865819" w:rsidRDefault="00865819" w:rsidP="00865819">
            <w:pPr>
              <w:numPr>
                <w:ilvl w:val="0"/>
                <w:numId w:val="5"/>
              </w:numPr>
              <w:spacing w:after="0" w:line="240" w:lineRule="auto"/>
              <w:ind w:left="1166"/>
              <w:contextualSpacing/>
              <w:rPr>
                <w:rFonts w:eastAsia="Times New Roman" w:cstheme="minorHAnsi"/>
                <w:sz w:val="24"/>
                <w:szCs w:val="24"/>
                <w:lang w:eastAsia="en-ID"/>
              </w:rPr>
            </w:pPr>
            <w:proofErr w:type="spellStart"/>
            <w:r w:rsidRPr="00865819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GB" w:eastAsia="en-ID"/>
              </w:rPr>
              <w:t>Penerimaan</w:t>
            </w:r>
            <w:proofErr w:type="spellEnd"/>
            <w:r w:rsidRPr="00865819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GB" w:eastAsia="en-ID"/>
              </w:rPr>
              <w:t xml:space="preserve"> </w:t>
            </w:r>
            <w:proofErr w:type="spellStart"/>
            <w:r w:rsidRPr="00865819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GB" w:eastAsia="en-ID"/>
              </w:rPr>
              <w:t>Perpajakan</w:t>
            </w:r>
            <w:proofErr w:type="spellEnd"/>
            <w:r w:rsidRPr="00865819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GB" w:eastAsia="en-ID"/>
              </w:rPr>
              <w:t xml:space="preserve">, </w:t>
            </w:r>
          </w:p>
          <w:p w14:paraId="517C41AF" w14:textId="77777777" w:rsidR="00865819" w:rsidRPr="00865819" w:rsidRDefault="00865819" w:rsidP="00865819">
            <w:pPr>
              <w:numPr>
                <w:ilvl w:val="0"/>
                <w:numId w:val="5"/>
              </w:numPr>
              <w:spacing w:after="0" w:line="240" w:lineRule="auto"/>
              <w:ind w:left="1166"/>
              <w:contextualSpacing/>
              <w:rPr>
                <w:rFonts w:eastAsia="Times New Roman" w:cstheme="minorHAnsi"/>
                <w:sz w:val="24"/>
                <w:szCs w:val="24"/>
                <w:lang w:eastAsia="en-ID"/>
              </w:rPr>
            </w:pPr>
            <w:proofErr w:type="spellStart"/>
            <w:r w:rsidRPr="00865819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GB" w:eastAsia="en-ID"/>
              </w:rPr>
              <w:t>Penerimaan</w:t>
            </w:r>
            <w:proofErr w:type="spellEnd"/>
            <w:r w:rsidRPr="00865819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GB" w:eastAsia="en-ID"/>
              </w:rPr>
              <w:t xml:space="preserve"> </w:t>
            </w:r>
            <w:proofErr w:type="spellStart"/>
            <w:r w:rsidRPr="00865819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GB" w:eastAsia="en-ID"/>
              </w:rPr>
              <w:t>Bukan</w:t>
            </w:r>
            <w:proofErr w:type="spellEnd"/>
            <w:r w:rsidRPr="00865819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GB" w:eastAsia="en-ID"/>
              </w:rPr>
              <w:t xml:space="preserve"> </w:t>
            </w:r>
            <w:proofErr w:type="spellStart"/>
            <w:r w:rsidRPr="00865819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GB" w:eastAsia="en-ID"/>
              </w:rPr>
              <w:t>Pajak</w:t>
            </w:r>
            <w:proofErr w:type="spellEnd"/>
            <w:r w:rsidRPr="00865819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GB" w:eastAsia="en-ID"/>
              </w:rPr>
              <w:t xml:space="preserve">, </w:t>
            </w:r>
          </w:p>
          <w:p w14:paraId="26F0BE94" w14:textId="77777777" w:rsidR="00865819" w:rsidRPr="00865819" w:rsidRDefault="00865819" w:rsidP="00865819">
            <w:pPr>
              <w:numPr>
                <w:ilvl w:val="0"/>
                <w:numId w:val="5"/>
              </w:numPr>
              <w:spacing w:after="0" w:line="240" w:lineRule="auto"/>
              <w:ind w:left="1166"/>
              <w:contextualSpacing/>
              <w:rPr>
                <w:rFonts w:eastAsia="Times New Roman" w:cstheme="minorHAnsi"/>
                <w:sz w:val="24"/>
                <w:szCs w:val="24"/>
                <w:lang w:eastAsia="en-ID"/>
              </w:rPr>
            </w:pPr>
            <w:proofErr w:type="spellStart"/>
            <w:r w:rsidRPr="00865819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GB" w:eastAsia="en-ID"/>
              </w:rPr>
              <w:t>Alokasi</w:t>
            </w:r>
            <w:proofErr w:type="spellEnd"/>
            <w:r w:rsidRPr="00865819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GB" w:eastAsia="en-ID"/>
              </w:rPr>
              <w:t xml:space="preserve"> </w:t>
            </w:r>
            <w:proofErr w:type="spellStart"/>
            <w:r w:rsidRPr="00865819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GB" w:eastAsia="en-ID"/>
              </w:rPr>
              <w:t>Penerimaan</w:t>
            </w:r>
            <w:proofErr w:type="spellEnd"/>
            <w:r w:rsidRPr="00865819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GB" w:eastAsia="en-ID"/>
              </w:rPr>
              <w:t xml:space="preserve"> Negara Dari </w:t>
            </w:r>
            <w:proofErr w:type="spellStart"/>
            <w:r w:rsidRPr="00865819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GB" w:eastAsia="en-ID"/>
              </w:rPr>
              <w:t>Industri</w:t>
            </w:r>
            <w:proofErr w:type="spellEnd"/>
            <w:r w:rsidRPr="00865819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GB" w:eastAsia="en-ID"/>
              </w:rPr>
              <w:t xml:space="preserve"> </w:t>
            </w:r>
            <w:proofErr w:type="spellStart"/>
            <w:r w:rsidRPr="00865819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GB" w:eastAsia="en-ID"/>
              </w:rPr>
              <w:t>Ekstraktif</w:t>
            </w:r>
            <w:proofErr w:type="spellEnd"/>
            <w:r w:rsidRPr="00865819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GB" w:eastAsia="en-ID"/>
              </w:rPr>
              <w:t xml:space="preserve">, </w:t>
            </w:r>
          </w:p>
          <w:p w14:paraId="7CCBF733" w14:textId="77777777" w:rsidR="00865819" w:rsidRPr="00865819" w:rsidRDefault="00865819" w:rsidP="00865819">
            <w:pPr>
              <w:numPr>
                <w:ilvl w:val="0"/>
                <w:numId w:val="5"/>
              </w:numPr>
              <w:spacing w:after="0" w:line="240" w:lineRule="auto"/>
              <w:ind w:left="1166"/>
              <w:contextualSpacing/>
              <w:rPr>
                <w:rFonts w:eastAsia="Times New Roman" w:cstheme="minorHAnsi"/>
                <w:sz w:val="24"/>
                <w:szCs w:val="24"/>
                <w:lang w:eastAsia="en-ID"/>
              </w:rPr>
            </w:pPr>
            <w:proofErr w:type="spellStart"/>
            <w:r w:rsidRPr="00865819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GB" w:eastAsia="en-ID"/>
              </w:rPr>
              <w:t>Penyelenggaraan</w:t>
            </w:r>
            <w:proofErr w:type="spellEnd"/>
            <w:r w:rsidRPr="00865819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GB" w:eastAsia="en-ID"/>
              </w:rPr>
              <w:t xml:space="preserve"> </w:t>
            </w:r>
            <w:proofErr w:type="spellStart"/>
            <w:r w:rsidRPr="00865819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GB" w:eastAsia="en-ID"/>
              </w:rPr>
              <w:t>Tugas</w:t>
            </w:r>
            <w:proofErr w:type="spellEnd"/>
            <w:r w:rsidRPr="00865819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GB" w:eastAsia="en-ID"/>
              </w:rPr>
              <w:t xml:space="preserve"> </w:t>
            </w:r>
            <w:proofErr w:type="spellStart"/>
            <w:r w:rsidRPr="00865819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GB" w:eastAsia="en-ID"/>
              </w:rPr>
              <w:t>Pemerintah</w:t>
            </w:r>
            <w:proofErr w:type="spellEnd"/>
            <w:r w:rsidRPr="00865819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GB" w:eastAsia="en-ID"/>
              </w:rPr>
              <w:t xml:space="preserve"> Pusat, </w:t>
            </w:r>
          </w:p>
          <w:p w14:paraId="37D74BA6" w14:textId="77777777" w:rsidR="00865819" w:rsidRPr="00865819" w:rsidRDefault="00865819" w:rsidP="00865819">
            <w:pPr>
              <w:numPr>
                <w:ilvl w:val="0"/>
                <w:numId w:val="5"/>
              </w:numPr>
              <w:spacing w:after="0" w:line="240" w:lineRule="auto"/>
              <w:ind w:left="1166"/>
              <w:contextualSpacing/>
              <w:rPr>
                <w:rFonts w:eastAsia="Times New Roman" w:cstheme="minorHAnsi"/>
                <w:sz w:val="24"/>
                <w:szCs w:val="24"/>
                <w:lang w:eastAsia="en-ID"/>
              </w:rPr>
            </w:pPr>
            <w:proofErr w:type="spellStart"/>
            <w:r w:rsidRPr="00865819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GB" w:eastAsia="en-ID"/>
              </w:rPr>
              <w:t>Perimbangan</w:t>
            </w:r>
            <w:proofErr w:type="spellEnd"/>
            <w:r w:rsidRPr="00865819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GB" w:eastAsia="en-ID"/>
              </w:rPr>
              <w:t xml:space="preserve"> </w:t>
            </w:r>
            <w:proofErr w:type="spellStart"/>
            <w:r w:rsidRPr="00865819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GB" w:eastAsia="en-ID"/>
              </w:rPr>
              <w:t>Keuangan</w:t>
            </w:r>
            <w:proofErr w:type="spellEnd"/>
            <w:r w:rsidRPr="00865819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GB" w:eastAsia="en-ID"/>
              </w:rPr>
              <w:t xml:space="preserve"> Antara </w:t>
            </w:r>
            <w:proofErr w:type="spellStart"/>
            <w:r w:rsidRPr="00865819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GB" w:eastAsia="en-ID"/>
              </w:rPr>
              <w:t>Pemerintah</w:t>
            </w:r>
            <w:proofErr w:type="spellEnd"/>
            <w:r w:rsidRPr="00865819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GB" w:eastAsia="en-ID"/>
              </w:rPr>
              <w:t xml:space="preserve"> Pusat dan Daerah.</w:t>
            </w:r>
          </w:p>
        </w:tc>
        <w:tc>
          <w:tcPr>
            <w:tcW w:w="3343" w:type="dxa"/>
            <w:tcBorders>
              <w:top w:val="single" w:sz="8" w:space="0" w:color="3494BA"/>
              <w:left w:val="nil"/>
              <w:bottom w:val="single" w:sz="8" w:space="0" w:color="3494BA"/>
              <w:right w:val="single" w:sz="8" w:space="0" w:color="3494BA"/>
            </w:tcBorders>
            <w:shd w:val="clear" w:color="auto" w:fill="E8EFF3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597DFD57" w14:textId="77777777" w:rsidR="00865819" w:rsidRPr="00865819" w:rsidRDefault="00865819" w:rsidP="00865819">
            <w:pPr>
              <w:spacing w:after="60" w:line="240" w:lineRule="auto"/>
              <w:rPr>
                <w:rFonts w:eastAsia="Times New Roman" w:cstheme="minorHAnsi"/>
                <w:sz w:val="24"/>
                <w:szCs w:val="24"/>
                <w:lang w:eastAsia="en-ID"/>
              </w:rPr>
            </w:pPr>
            <w:r w:rsidRPr="00865819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n-ID"/>
              </w:rPr>
              <w:t>4.1 Comprehensive disclosure of taxes and revenues</w:t>
            </w:r>
          </w:p>
          <w:p w14:paraId="516CCADF" w14:textId="77777777" w:rsidR="00865819" w:rsidRPr="00865819" w:rsidRDefault="00865819" w:rsidP="00865819">
            <w:pPr>
              <w:spacing w:after="60" w:line="240" w:lineRule="auto"/>
              <w:rPr>
                <w:rFonts w:eastAsia="Times New Roman" w:cstheme="minorHAnsi"/>
                <w:sz w:val="24"/>
                <w:szCs w:val="24"/>
                <w:lang w:eastAsia="en-ID"/>
              </w:rPr>
            </w:pPr>
            <w:r w:rsidRPr="00865819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n-ID"/>
              </w:rPr>
              <w:t>4.2 Sale of the state’s share of production or other revenues collected in kind</w:t>
            </w:r>
          </w:p>
          <w:p w14:paraId="55AFA5CD" w14:textId="77777777" w:rsidR="00865819" w:rsidRPr="00865819" w:rsidRDefault="00865819" w:rsidP="00865819">
            <w:pPr>
              <w:spacing w:after="60" w:line="240" w:lineRule="auto"/>
              <w:rPr>
                <w:rFonts w:eastAsia="Times New Roman" w:cstheme="minorHAnsi"/>
                <w:sz w:val="24"/>
                <w:szCs w:val="24"/>
                <w:lang w:eastAsia="en-ID"/>
              </w:rPr>
            </w:pPr>
            <w:r w:rsidRPr="00865819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n-ID"/>
              </w:rPr>
              <w:t>4.3 Infrastructure provisions and barter arrangements</w:t>
            </w:r>
          </w:p>
          <w:p w14:paraId="4E788CAD" w14:textId="77777777" w:rsidR="00865819" w:rsidRPr="00865819" w:rsidRDefault="00865819" w:rsidP="00865819">
            <w:pPr>
              <w:spacing w:after="60" w:line="240" w:lineRule="auto"/>
              <w:rPr>
                <w:rFonts w:eastAsia="Times New Roman" w:cstheme="minorHAnsi"/>
                <w:sz w:val="24"/>
                <w:szCs w:val="24"/>
                <w:lang w:eastAsia="en-ID"/>
              </w:rPr>
            </w:pPr>
            <w:r w:rsidRPr="00865819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n-ID"/>
              </w:rPr>
              <w:t>4.4 Transportation Revenues</w:t>
            </w:r>
          </w:p>
          <w:p w14:paraId="01B9B593" w14:textId="77777777" w:rsidR="00865819" w:rsidRPr="00865819" w:rsidRDefault="00865819" w:rsidP="00865819">
            <w:pPr>
              <w:spacing w:after="60" w:line="240" w:lineRule="auto"/>
              <w:rPr>
                <w:rFonts w:eastAsia="Times New Roman" w:cstheme="minorHAnsi"/>
                <w:sz w:val="24"/>
                <w:szCs w:val="24"/>
                <w:lang w:eastAsia="en-ID"/>
              </w:rPr>
            </w:pPr>
            <w:r w:rsidRPr="00865819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n-ID"/>
              </w:rPr>
              <w:t>4.5 Transactions related to state-owned enterprises (SOEs)</w:t>
            </w:r>
          </w:p>
          <w:p w14:paraId="4C776B05" w14:textId="77777777" w:rsidR="00865819" w:rsidRPr="00865819" w:rsidRDefault="00865819" w:rsidP="00865819">
            <w:pPr>
              <w:spacing w:after="60" w:line="240" w:lineRule="auto"/>
              <w:rPr>
                <w:rFonts w:eastAsia="Times New Roman" w:cstheme="minorHAnsi"/>
                <w:sz w:val="24"/>
                <w:szCs w:val="24"/>
                <w:lang w:eastAsia="en-ID"/>
              </w:rPr>
            </w:pPr>
            <w:r w:rsidRPr="00865819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n-ID"/>
              </w:rPr>
              <w:t>4.6 Subnational Payments</w:t>
            </w:r>
          </w:p>
          <w:p w14:paraId="1C517583" w14:textId="77777777" w:rsidR="00865819" w:rsidRPr="00865819" w:rsidRDefault="00865819" w:rsidP="00865819">
            <w:pPr>
              <w:spacing w:after="60" w:line="240" w:lineRule="auto"/>
              <w:rPr>
                <w:rFonts w:eastAsia="Times New Roman" w:cstheme="minorHAnsi"/>
                <w:sz w:val="24"/>
                <w:szCs w:val="24"/>
                <w:lang w:eastAsia="en-ID"/>
              </w:rPr>
            </w:pPr>
            <w:r w:rsidRPr="00865819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n-ID"/>
              </w:rPr>
              <w:t>4.7 Level of disaggregation</w:t>
            </w:r>
          </w:p>
          <w:p w14:paraId="7C15F322" w14:textId="77777777" w:rsidR="00865819" w:rsidRPr="00865819" w:rsidRDefault="00865819" w:rsidP="00865819">
            <w:pPr>
              <w:spacing w:after="60" w:line="240" w:lineRule="auto"/>
              <w:rPr>
                <w:rFonts w:eastAsia="Times New Roman" w:cstheme="minorHAnsi"/>
                <w:sz w:val="24"/>
                <w:szCs w:val="24"/>
                <w:lang w:eastAsia="en-ID"/>
              </w:rPr>
            </w:pPr>
            <w:r w:rsidRPr="00865819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n-ID"/>
              </w:rPr>
              <w:t>4.8 Data timeliness</w:t>
            </w:r>
          </w:p>
          <w:p w14:paraId="711D69AB" w14:textId="77777777" w:rsidR="00865819" w:rsidRPr="00865819" w:rsidRDefault="00865819" w:rsidP="00865819">
            <w:pPr>
              <w:spacing w:after="60" w:line="240" w:lineRule="auto"/>
              <w:rPr>
                <w:rFonts w:eastAsia="Times New Roman" w:cstheme="minorHAnsi"/>
                <w:sz w:val="24"/>
                <w:szCs w:val="24"/>
                <w:lang w:eastAsia="en-ID"/>
              </w:rPr>
            </w:pPr>
            <w:r w:rsidRPr="00865819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n-ID"/>
              </w:rPr>
              <w:t>4.9 Data quality and assurance</w:t>
            </w:r>
          </w:p>
          <w:p w14:paraId="106BAAF4" w14:textId="77777777" w:rsidR="00865819" w:rsidRPr="00865819" w:rsidRDefault="00865819" w:rsidP="00865819">
            <w:pPr>
              <w:spacing w:after="60" w:line="240" w:lineRule="auto"/>
              <w:rPr>
                <w:rFonts w:eastAsia="Times New Roman" w:cstheme="minorHAnsi"/>
                <w:sz w:val="24"/>
                <w:szCs w:val="24"/>
                <w:lang w:eastAsia="en-ID"/>
              </w:rPr>
            </w:pPr>
            <w:r w:rsidRPr="00865819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n-ID"/>
              </w:rPr>
              <w:t>5.1 Distribution of extractive industry revenues</w:t>
            </w:r>
          </w:p>
          <w:p w14:paraId="0D8A006D" w14:textId="77777777" w:rsidR="00865819" w:rsidRPr="00865819" w:rsidRDefault="00865819" w:rsidP="00865819">
            <w:pPr>
              <w:spacing w:after="60" w:line="240" w:lineRule="auto"/>
              <w:rPr>
                <w:rFonts w:eastAsia="Times New Roman" w:cstheme="minorHAnsi"/>
                <w:sz w:val="24"/>
                <w:szCs w:val="24"/>
                <w:lang w:eastAsia="en-ID"/>
              </w:rPr>
            </w:pPr>
            <w:r w:rsidRPr="00865819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n-ID"/>
              </w:rPr>
              <w:t>5.2 Subnational transfers</w:t>
            </w:r>
          </w:p>
          <w:p w14:paraId="023F0867" w14:textId="77777777" w:rsidR="00865819" w:rsidRPr="00865819" w:rsidRDefault="00865819" w:rsidP="00865819">
            <w:pPr>
              <w:spacing w:after="60" w:line="240" w:lineRule="auto"/>
              <w:rPr>
                <w:rFonts w:eastAsia="Times New Roman" w:cstheme="minorHAnsi"/>
                <w:sz w:val="24"/>
                <w:szCs w:val="24"/>
                <w:lang w:eastAsia="en-ID"/>
              </w:rPr>
            </w:pPr>
            <w:r w:rsidRPr="00865819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n-ID"/>
              </w:rPr>
              <w:t>5.3 Revenue management and expenditures</w:t>
            </w:r>
          </w:p>
        </w:tc>
      </w:tr>
      <w:tr w:rsidR="00865819" w:rsidRPr="00865819" w14:paraId="2A966272" w14:textId="77777777" w:rsidTr="00865819">
        <w:trPr>
          <w:trHeight w:val="1960"/>
        </w:trPr>
        <w:tc>
          <w:tcPr>
            <w:tcW w:w="1739" w:type="dxa"/>
            <w:tcBorders>
              <w:top w:val="single" w:sz="8" w:space="0" w:color="3494BA"/>
              <w:left w:val="single" w:sz="8" w:space="0" w:color="3494BA"/>
              <w:bottom w:val="single" w:sz="8" w:space="0" w:color="3494BA"/>
              <w:right w:val="nil"/>
            </w:tcBorders>
            <w:shd w:val="clear" w:color="auto" w:fill="E8EFF3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60195881" w14:textId="77777777" w:rsidR="00865819" w:rsidRPr="00865819" w:rsidRDefault="00865819" w:rsidP="00865819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865819">
              <w:rPr>
                <w:rFonts w:cstheme="minorHAnsi"/>
                <w:b/>
                <w:bCs/>
                <w:sz w:val="24"/>
                <w:szCs w:val="24"/>
                <w:lang w:val="en-GB"/>
              </w:rPr>
              <w:t>Bab V Peran Badan Usaha Milik Negara</w:t>
            </w:r>
          </w:p>
        </w:tc>
        <w:tc>
          <w:tcPr>
            <w:tcW w:w="4312" w:type="dxa"/>
            <w:tcBorders>
              <w:top w:val="single" w:sz="8" w:space="0" w:color="3494BA"/>
              <w:left w:val="nil"/>
              <w:bottom w:val="single" w:sz="8" w:space="0" w:color="3494BA"/>
              <w:right w:val="nil"/>
            </w:tcBorders>
            <w:shd w:val="clear" w:color="auto" w:fill="E8EFF3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47653996" w14:textId="77777777" w:rsidR="00865819" w:rsidRPr="00865819" w:rsidRDefault="00865819" w:rsidP="00865819">
            <w:pPr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Informasi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terdiri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>:</w:t>
            </w:r>
          </w:p>
          <w:p w14:paraId="115EF87A" w14:textId="77777777" w:rsidR="00865819" w:rsidRPr="00865819" w:rsidRDefault="00865819" w:rsidP="00865819">
            <w:pPr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Hubungan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Keuangan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antara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BUMN dan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Pemerintah</w:t>
            </w:r>
            <w:proofErr w:type="spellEnd"/>
          </w:p>
          <w:p w14:paraId="036F10A7" w14:textId="77777777" w:rsidR="00865819" w:rsidRPr="00865819" w:rsidRDefault="00865819" w:rsidP="00865819">
            <w:pPr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Tanggung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Jawab Sosial dan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Lingkungan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Perusahaan BUMN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Industri</w:t>
            </w:r>
            <w:proofErr w:type="spellEnd"/>
          </w:p>
          <w:p w14:paraId="56DE9036" w14:textId="77777777" w:rsidR="00865819" w:rsidRPr="00865819" w:rsidRDefault="00865819" w:rsidP="00865819">
            <w:pPr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Ekstraktif</w:t>
            </w:r>
            <w:proofErr w:type="spellEnd"/>
          </w:p>
          <w:p w14:paraId="334F54A4" w14:textId="77777777" w:rsidR="00865819" w:rsidRPr="00865819" w:rsidRDefault="00865819" w:rsidP="00865819">
            <w:pPr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865819">
              <w:rPr>
                <w:rFonts w:cstheme="minorHAnsi"/>
                <w:sz w:val="24"/>
                <w:szCs w:val="24"/>
                <w:lang w:val="en-GB"/>
              </w:rPr>
              <w:t>Holding BUMN</w:t>
            </w:r>
          </w:p>
          <w:p w14:paraId="056ED612" w14:textId="77777777" w:rsidR="00865819" w:rsidRPr="00865819" w:rsidRDefault="00865819" w:rsidP="00865819">
            <w:pPr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Quasi-fiscal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Industri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Ekstraktif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Indonesia</w:t>
            </w:r>
          </w:p>
        </w:tc>
        <w:tc>
          <w:tcPr>
            <w:tcW w:w="3343" w:type="dxa"/>
            <w:tcBorders>
              <w:top w:val="single" w:sz="8" w:space="0" w:color="3494BA"/>
              <w:left w:val="nil"/>
              <w:bottom w:val="single" w:sz="8" w:space="0" w:color="3494BA"/>
              <w:right w:val="single" w:sz="8" w:space="0" w:color="3494BA"/>
            </w:tcBorders>
            <w:shd w:val="clear" w:color="auto" w:fill="E8EFF3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081736C0" w14:textId="77777777" w:rsidR="00865819" w:rsidRPr="00865819" w:rsidRDefault="00865819" w:rsidP="0086581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65819">
              <w:rPr>
                <w:rFonts w:cstheme="minorHAnsi"/>
                <w:sz w:val="24"/>
                <w:szCs w:val="24"/>
                <w:lang w:val="en-US"/>
              </w:rPr>
              <w:t>2.6 State participation</w:t>
            </w:r>
          </w:p>
          <w:p w14:paraId="7D9C1ECA" w14:textId="77777777" w:rsidR="00865819" w:rsidRPr="00865819" w:rsidRDefault="00865819" w:rsidP="0086581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65819">
              <w:rPr>
                <w:rFonts w:cstheme="minorHAnsi"/>
                <w:sz w:val="24"/>
                <w:szCs w:val="24"/>
                <w:lang w:val="en-US"/>
              </w:rPr>
              <w:t>4.5 Transactions related to state-owned enterprises (SOEs)</w:t>
            </w:r>
          </w:p>
          <w:p w14:paraId="695630AE" w14:textId="77777777" w:rsidR="00865819" w:rsidRPr="00865819" w:rsidRDefault="00865819" w:rsidP="0086581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65819">
              <w:rPr>
                <w:rFonts w:cstheme="minorHAnsi"/>
                <w:sz w:val="24"/>
                <w:szCs w:val="24"/>
                <w:lang w:val="en-US"/>
              </w:rPr>
              <w:t>6.2 Quasi-fiscal expenditures</w:t>
            </w:r>
          </w:p>
        </w:tc>
      </w:tr>
      <w:tr w:rsidR="00865819" w:rsidRPr="00865819" w14:paraId="5BC3E30B" w14:textId="77777777" w:rsidTr="00865819">
        <w:trPr>
          <w:trHeight w:val="1960"/>
        </w:trPr>
        <w:tc>
          <w:tcPr>
            <w:tcW w:w="1739" w:type="dxa"/>
            <w:tcBorders>
              <w:top w:val="single" w:sz="8" w:space="0" w:color="3494BA"/>
              <w:left w:val="single" w:sz="8" w:space="0" w:color="3494BA"/>
              <w:bottom w:val="single" w:sz="8" w:space="0" w:color="3494BA"/>
              <w:right w:val="nil"/>
            </w:tcBorders>
            <w:shd w:val="clear" w:color="auto" w:fill="E8EFF3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664B8415" w14:textId="77777777" w:rsidR="00865819" w:rsidRPr="00865819" w:rsidRDefault="00865819" w:rsidP="00865819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865819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Bab VI </w:t>
            </w:r>
            <w:proofErr w:type="spellStart"/>
            <w:r w:rsidRPr="00865819">
              <w:rPr>
                <w:rFonts w:cstheme="minorHAnsi"/>
                <w:b/>
                <w:bCs/>
                <w:sz w:val="24"/>
                <w:szCs w:val="24"/>
                <w:lang w:val="en-GB"/>
              </w:rPr>
              <w:t>Tanggung</w:t>
            </w:r>
            <w:proofErr w:type="spellEnd"/>
            <w:r w:rsidRPr="00865819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 Jawab Sosial dan </w:t>
            </w:r>
            <w:proofErr w:type="spellStart"/>
            <w:r w:rsidRPr="00865819">
              <w:rPr>
                <w:rFonts w:cstheme="minorHAnsi"/>
                <w:b/>
                <w:bCs/>
                <w:sz w:val="24"/>
                <w:szCs w:val="24"/>
                <w:lang w:val="en-GB"/>
              </w:rPr>
              <w:t>Lingkungan</w:t>
            </w:r>
            <w:proofErr w:type="spellEnd"/>
          </w:p>
        </w:tc>
        <w:tc>
          <w:tcPr>
            <w:tcW w:w="4312" w:type="dxa"/>
            <w:tcBorders>
              <w:top w:val="single" w:sz="8" w:space="0" w:color="3494BA"/>
              <w:left w:val="nil"/>
              <w:bottom w:val="single" w:sz="8" w:space="0" w:color="3494BA"/>
              <w:right w:val="nil"/>
            </w:tcBorders>
            <w:shd w:val="clear" w:color="auto" w:fill="E8EFF3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7A16FD35" w14:textId="77777777" w:rsidR="00865819" w:rsidRPr="00865819" w:rsidRDefault="00865819" w:rsidP="00865819">
            <w:pPr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Informasi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terkandung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dapat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dibagi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menjadi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sosial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dan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lingkungan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>.</w:t>
            </w:r>
          </w:p>
          <w:p w14:paraId="5EFCC374" w14:textId="77777777" w:rsidR="00865819" w:rsidRPr="00865819" w:rsidRDefault="00865819" w:rsidP="00865819">
            <w:pPr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Tanggung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jawab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sosial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meliputi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: program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sosial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melalui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Program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Pengembangan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Masyarakat (PPM) di mana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bidang-bidang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dalamnya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yaitu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pendidikan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kesehatan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ekonomi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fasilitas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lastRenderedPageBreak/>
              <w:t>sosial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>/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umum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infrastruktur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), dan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lingkungan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>.</w:t>
            </w:r>
          </w:p>
          <w:p w14:paraId="21E313E2" w14:textId="77777777" w:rsidR="00865819" w:rsidRPr="00865819" w:rsidRDefault="00865819" w:rsidP="00865819">
            <w:pPr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Tanggung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jawab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lingkungan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meliputi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: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pengelolaan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lingkungan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, ASR,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biaya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pengelolaan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dan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pelestarian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lingkungan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penempatan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jaminan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reklamasi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, </w:t>
            </w:r>
            <w:proofErr w:type="spellStart"/>
            <w:proofErr w:type="gramStart"/>
            <w:r w:rsidRPr="00865819">
              <w:rPr>
                <w:rFonts w:cstheme="minorHAnsi"/>
                <w:sz w:val="24"/>
                <w:szCs w:val="24"/>
                <w:lang w:val="en-GB"/>
              </w:rPr>
              <w:t>realisasi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jaminan</w:t>
            </w:r>
            <w:proofErr w:type="spellEnd"/>
            <w:proofErr w:type="gram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reklamasi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>.</w:t>
            </w:r>
          </w:p>
          <w:p w14:paraId="1F7E774E" w14:textId="77777777" w:rsidR="00865819" w:rsidRPr="00865819" w:rsidRDefault="00865819" w:rsidP="00865819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865819">
              <w:rPr>
                <w:rFonts w:cstheme="minorHAnsi"/>
                <w:sz w:val="24"/>
                <w:szCs w:val="24"/>
                <w:lang w:val="en-GB"/>
              </w:rPr>
              <w:t> </w:t>
            </w:r>
          </w:p>
        </w:tc>
        <w:tc>
          <w:tcPr>
            <w:tcW w:w="3343" w:type="dxa"/>
            <w:tcBorders>
              <w:top w:val="single" w:sz="8" w:space="0" w:color="3494BA"/>
              <w:left w:val="nil"/>
              <w:bottom w:val="single" w:sz="8" w:space="0" w:color="3494BA"/>
              <w:right w:val="single" w:sz="8" w:space="0" w:color="3494BA"/>
            </w:tcBorders>
            <w:shd w:val="clear" w:color="auto" w:fill="E8EFF3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51B3B9A3" w14:textId="77777777" w:rsidR="00865819" w:rsidRPr="00865819" w:rsidRDefault="00865819" w:rsidP="0086581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65819">
              <w:rPr>
                <w:rFonts w:cstheme="minorHAnsi"/>
                <w:sz w:val="24"/>
                <w:szCs w:val="24"/>
                <w:lang w:val="en-US"/>
              </w:rPr>
              <w:lastRenderedPageBreak/>
              <w:t>6.1 Social and environmental expenditures by extractive companies</w:t>
            </w:r>
          </w:p>
          <w:p w14:paraId="76E574EF" w14:textId="77777777" w:rsidR="00865819" w:rsidRPr="00865819" w:rsidRDefault="00865819" w:rsidP="0086581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65819">
              <w:rPr>
                <w:rFonts w:cstheme="minorHAnsi"/>
                <w:sz w:val="24"/>
                <w:szCs w:val="24"/>
                <w:lang w:val="en-US"/>
              </w:rPr>
              <w:t>6.4 Environmental impact of extractive activities</w:t>
            </w:r>
          </w:p>
        </w:tc>
      </w:tr>
      <w:tr w:rsidR="00865819" w:rsidRPr="00865819" w14:paraId="0698B785" w14:textId="77777777" w:rsidTr="00865819">
        <w:trPr>
          <w:trHeight w:val="1960"/>
        </w:trPr>
        <w:tc>
          <w:tcPr>
            <w:tcW w:w="1739" w:type="dxa"/>
            <w:tcBorders>
              <w:top w:val="single" w:sz="8" w:space="0" w:color="3494BA"/>
              <w:left w:val="single" w:sz="8" w:space="0" w:color="3494BA"/>
              <w:bottom w:val="single" w:sz="8" w:space="0" w:color="3494BA"/>
              <w:right w:val="nil"/>
            </w:tcBorders>
            <w:shd w:val="clear" w:color="auto" w:fill="E8EFF3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129C1E86" w14:textId="77777777" w:rsidR="00865819" w:rsidRPr="00865819" w:rsidRDefault="00865819" w:rsidP="00865819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865819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Bab VII </w:t>
            </w:r>
            <w:proofErr w:type="spellStart"/>
            <w:r w:rsidRPr="00865819">
              <w:rPr>
                <w:rFonts w:cstheme="minorHAnsi"/>
                <w:b/>
                <w:bCs/>
                <w:sz w:val="24"/>
                <w:szCs w:val="24"/>
                <w:lang w:val="en-GB"/>
              </w:rPr>
              <w:t>Perkembangan</w:t>
            </w:r>
            <w:proofErr w:type="spellEnd"/>
            <w:r w:rsidRPr="00865819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5819">
              <w:rPr>
                <w:rFonts w:cstheme="minorHAnsi"/>
                <w:b/>
                <w:bCs/>
                <w:sz w:val="24"/>
                <w:szCs w:val="24"/>
                <w:lang w:val="en-GB"/>
              </w:rPr>
              <w:t>Pemulihan</w:t>
            </w:r>
            <w:proofErr w:type="spellEnd"/>
            <w:r w:rsidRPr="00865819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5819">
              <w:rPr>
                <w:rFonts w:cstheme="minorHAnsi"/>
                <w:b/>
                <w:bCs/>
                <w:sz w:val="24"/>
                <w:szCs w:val="24"/>
                <w:lang w:val="en-GB"/>
              </w:rPr>
              <w:t>Ekonomi</w:t>
            </w:r>
            <w:proofErr w:type="spellEnd"/>
            <w:r w:rsidRPr="00865819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 Nasional</w:t>
            </w:r>
          </w:p>
        </w:tc>
        <w:tc>
          <w:tcPr>
            <w:tcW w:w="4312" w:type="dxa"/>
            <w:tcBorders>
              <w:top w:val="single" w:sz="8" w:space="0" w:color="3494BA"/>
              <w:left w:val="nil"/>
              <w:bottom w:val="single" w:sz="8" w:space="0" w:color="3494BA"/>
              <w:right w:val="nil"/>
            </w:tcBorders>
            <w:shd w:val="clear" w:color="auto" w:fill="E8EFF3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0A4BAEAF" w14:textId="77777777" w:rsidR="00865819" w:rsidRPr="00865819" w:rsidRDefault="00865819" w:rsidP="00865819">
            <w:pPr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Berisi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penjelasan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untuk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menjawab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berbagai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isu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berkembang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industri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ekstraktif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sesuai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dengan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standard EITI dan flexible report,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serta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isu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pada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laporan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ke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delapan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belum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dibahas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Isu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tersebut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yaitu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: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pemulihan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ekonomi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nasional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pasca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covid-19, commodity trading,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dampak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lingkungan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dampak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terhadap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masyarakat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adat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dan gender.</w:t>
            </w:r>
          </w:p>
        </w:tc>
        <w:tc>
          <w:tcPr>
            <w:tcW w:w="3343" w:type="dxa"/>
            <w:tcBorders>
              <w:top w:val="single" w:sz="8" w:space="0" w:color="3494BA"/>
              <w:left w:val="nil"/>
              <w:bottom w:val="single" w:sz="8" w:space="0" w:color="3494BA"/>
              <w:right w:val="single" w:sz="8" w:space="0" w:color="3494BA"/>
            </w:tcBorders>
            <w:shd w:val="clear" w:color="auto" w:fill="E8EFF3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1479254D" w14:textId="77777777" w:rsidR="00865819" w:rsidRPr="00865819" w:rsidRDefault="00865819" w:rsidP="0086581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65819">
              <w:rPr>
                <w:rFonts w:cstheme="minorHAnsi"/>
                <w:sz w:val="24"/>
                <w:szCs w:val="24"/>
                <w:lang w:val="en-US"/>
              </w:rPr>
              <w:t>6.3 The contribution of the extractive sector to the economy</w:t>
            </w:r>
          </w:p>
        </w:tc>
      </w:tr>
      <w:tr w:rsidR="00865819" w:rsidRPr="00865819" w14:paraId="4F6712D2" w14:textId="77777777" w:rsidTr="00865819">
        <w:trPr>
          <w:trHeight w:val="1960"/>
        </w:trPr>
        <w:tc>
          <w:tcPr>
            <w:tcW w:w="1739" w:type="dxa"/>
            <w:tcBorders>
              <w:top w:val="single" w:sz="8" w:space="0" w:color="3494BA"/>
              <w:left w:val="single" w:sz="8" w:space="0" w:color="3494BA"/>
              <w:bottom w:val="single" w:sz="8" w:space="0" w:color="3494BA"/>
              <w:right w:val="nil"/>
            </w:tcBorders>
            <w:shd w:val="clear" w:color="auto" w:fill="E8EFF3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2BC513CD" w14:textId="77777777" w:rsidR="00865819" w:rsidRPr="00865819" w:rsidRDefault="00865819" w:rsidP="00865819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865819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Bab VIII </w:t>
            </w:r>
            <w:proofErr w:type="spellStart"/>
            <w:r w:rsidRPr="00865819">
              <w:rPr>
                <w:rFonts w:cstheme="minorHAnsi"/>
                <w:b/>
                <w:bCs/>
                <w:sz w:val="24"/>
                <w:szCs w:val="24"/>
                <w:lang w:val="en-GB"/>
              </w:rPr>
              <w:t>Kebijakan</w:t>
            </w:r>
            <w:proofErr w:type="spellEnd"/>
            <w:r w:rsidRPr="00865819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865819">
              <w:rPr>
                <w:rFonts w:cstheme="minorHAnsi"/>
                <w:b/>
                <w:bCs/>
                <w:sz w:val="24"/>
                <w:szCs w:val="24"/>
                <w:lang w:val="en-GB"/>
              </w:rPr>
              <w:t>Industri</w:t>
            </w:r>
            <w:proofErr w:type="spellEnd"/>
            <w:r w:rsidRPr="00865819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5819">
              <w:rPr>
                <w:rFonts w:cstheme="minorHAnsi"/>
                <w:b/>
                <w:bCs/>
                <w:sz w:val="24"/>
                <w:szCs w:val="24"/>
                <w:lang w:val="en-GB"/>
              </w:rPr>
              <w:t>Ekstraktif</w:t>
            </w:r>
            <w:proofErr w:type="spellEnd"/>
            <w:r w:rsidRPr="00865819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312" w:type="dxa"/>
            <w:tcBorders>
              <w:top w:val="single" w:sz="8" w:space="0" w:color="3494BA"/>
              <w:left w:val="nil"/>
              <w:bottom w:val="single" w:sz="8" w:space="0" w:color="3494BA"/>
              <w:right w:val="nil"/>
            </w:tcBorders>
            <w:shd w:val="clear" w:color="auto" w:fill="E8EFF3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429578F0" w14:textId="77777777" w:rsidR="00865819" w:rsidRPr="00865819" w:rsidRDefault="00865819" w:rsidP="00865819">
            <w:pPr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Terkait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reformasi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kebijakan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dilakukan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oleh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pemerintah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untuk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industri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ekstraktif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pada masing-masing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berdasarkan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rantai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nilai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(value chain).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Informasi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harus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diungkap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antara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lain: </w:t>
            </w:r>
          </w:p>
          <w:p w14:paraId="7B4D6461" w14:textId="77777777" w:rsidR="00865819" w:rsidRPr="00865819" w:rsidRDefault="00865819" w:rsidP="00865819">
            <w:pPr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Perkembangan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integrasi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teknologi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informasi</w:t>
            </w:r>
            <w:proofErr w:type="spellEnd"/>
          </w:p>
          <w:p w14:paraId="6310CB3B" w14:textId="77777777" w:rsidR="00865819" w:rsidRPr="00865819" w:rsidRDefault="00865819" w:rsidP="00865819">
            <w:pPr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Kebijakan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5819">
              <w:rPr>
                <w:rFonts w:cstheme="minorHAnsi"/>
                <w:sz w:val="24"/>
                <w:szCs w:val="24"/>
                <w:lang w:val="en-GB"/>
              </w:rPr>
              <w:t>sesuai</w:t>
            </w:r>
            <w:proofErr w:type="spellEnd"/>
            <w:r w:rsidRPr="00865819">
              <w:rPr>
                <w:rFonts w:cstheme="minorHAnsi"/>
                <w:sz w:val="24"/>
                <w:szCs w:val="24"/>
                <w:lang w:val="en-GB"/>
              </w:rPr>
              <w:t xml:space="preserve"> value chain</w:t>
            </w:r>
          </w:p>
          <w:p w14:paraId="16518927" w14:textId="77777777" w:rsidR="00865819" w:rsidRPr="00865819" w:rsidRDefault="00865819" w:rsidP="00865819">
            <w:pPr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865819">
              <w:rPr>
                <w:rFonts w:cstheme="minorHAnsi"/>
                <w:sz w:val="24"/>
                <w:szCs w:val="24"/>
                <w:lang w:val="en-GB"/>
              </w:rPr>
              <w:t>Disclosure contract</w:t>
            </w:r>
          </w:p>
          <w:p w14:paraId="5107542A" w14:textId="77777777" w:rsidR="00865819" w:rsidRPr="00865819" w:rsidRDefault="00865819" w:rsidP="00865819">
            <w:pPr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865819">
              <w:rPr>
                <w:rFonts w:cstheme="minorHAnsi"/>
                <w:sz w:val="24"/>
                <w:szCs w:val="24"/>
                <w:lang w:val="en-GB"/>
              </w:rPr>
              <w:t>Beneficial ownership</w:t>
            </w:r>
          </w:p>
        </w:tc>
        <w:tc>
          <w:tcPr>
            <w:tcW w:w="3343" w:type="dxa"/>
            <w:tcBorders>
              <w:top w:val="single" w:sz="8" w:space="0" w:color="3494BA"/>
              <w:left w:val="nil"/>
              <w:bottom w:val="single" w:sz="8" w:space="0" w:color="3494BA"/>
              <w:right w:val="single" w:sz="8" w:space="0" w:color="3494BA"/>
            </w:tcBorders>
            <w:shd w:val="clear" w:color="auto" w:fill="E8EFF3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2134B58A" w14:textId="77777777" w:rsidR="00865819" w:rsidRPr="00865819" w:rsidRDefault="00865819" w:rsidP="0086581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65819">
              <w:rPr>
                <w:rFonts w:cstheme="minorHAnsi"/>
                <w:sz w:val="24"/>
                <w:szCs w:val="24"/>
                <w:lang w:val="en-US"/>
              </w:rPr>
              <w:t>2.5 Beneficial Ownership</w:t>
            </w:r>
          </w:p>
          <w:p w14:paraId="7E252048" w14:textId="77777777" w:rsidR="00865819" w:rsidRPr="00865819" w:rsidRDefault="00865819" w:rsidP="0086581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65819">
              <w:rPr>
                <w:rFonts w:cstheme="minorHAnsi"/>
                <w:sz w:val="24"/>
                <w:szCs w:val="24"/>
                <w:lang w:val="en-US"/>
              </w:rPr>
              <w:t>7.2 Data accessibility and open data</w:t>
            </w:r>
          </w:p>
          <w:p w14:paraId="7154705A" w14:textId="77777777" w:rsidR="00865819" w:rsidRPr="00865819" w:rsidRDefault="00865819" w:rsidP="0086581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65819">
              <w:rPr>
                <w:rFonts w:cstheme="minorHAnsi"/>
                <w:sz w:val="24"/>
                <w:szCs w:val="24"/>
                <w:lang w:val="en-US"/>
              </w:rPr>
              <w:t>7.3 Recommendation from EITI implementation</w:t>
            </w:r>
          </w:p>
        </w:tc>
      </w:tr>
    </w:tbl>
    <w:p w14:paraId="6454AB6D" w14:textId="77777777" w:rsidR="00865819" w:rsidRPr="00865819" w:rsidRDefault="00865819">
      <w:pPr>
        <w:rPr>
          <w:rFonts w:cstheme="minorHAnsi"/>
          <w:sz w:val="24"/>
          <w:szCs w:val="24"/>
        </w:rPr>
      </w:pPr>
    </w:p>
    <w:sectPr w:rsidR="00865819" w:rsidRPr="00865819" w:rsidSect="008658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E62F4"/>
    <w:multiLevelType w:val="hybridMultilevel"/>
    <w:tmpl w:val="F48680C6"/>
    <w:lvl w:ilvl="0" w:tplc="92A43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6EAC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5A5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643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B4D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DAB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9EC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423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783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00D37AC"/>
    <w:multiLevelType w:val="hybridMultilevel"/>
    <w:tmpl w:val="24948CC0"/>
    <w:lvl w:ilvl="0" w:tplc="2BF82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56B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C6D0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5A1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782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0C3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6276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0CA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A2F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E737EB1"/>
    <w:multiLevelType w:val="hybridMultilevel"/>
    <w:tmpl w:val="53C2C34A"/>
    <w:lvl w:ilvl="0" w:tplc="9B2E9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1CB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767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09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DA9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A89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F03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FC8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122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E8D4E64"/>
    <w:multiLevelType w:val="hybridMultilevel"/>
    <w:tmpl w:val="2DA0C70A"/>
    <w:lvl w:ilvl="0" w:tplc="412CB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D6A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E20E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DE9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FAFF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607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762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289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149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EF30457"/>
    <w:multiLevelType w:val="hybridMultilevel"/>
    <w:tmpl w:val="3C26C88E"/>
    <w:lvl w:ilvl="0" w:tplc="945E6B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C654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C442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A88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8018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844B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EC8B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AACF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ECFD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6B76ADE"/>
    <w:multiLevelType w:val="hybridMultilevel"/>
    <w:tmpl w:val="488EC69C"/>
    <w:lvl w:ilvl="0" w:tplc="D2209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FE1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9A4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020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8C4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E86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205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6EC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EC9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4596805"/>
    <w:multiLevelType w:val="hybridMultilevel"/>
    <w:tmpl w:val="A6080490"/>
    <w:lvl w:ilvl="0" w:tplc="8188B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3881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E82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AE48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0AE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F60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9A4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248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7C5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61E5A9F"/>
    <w:multiLevelType w:val="hybridMultilevel"/>
    <w:tmpl w:val="C3703BEC"/>
    <w:lvl w:ilvl="0" w:tplc="538C99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32A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DC0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7A8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D68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982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463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F83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6E5B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819"/>
    <w:rsid w:val="004B70CA"/>
    <w:rsid w:val="0086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378B2"/>
  <w15:chartTrackingRefBased/>
  <w15:docId w15:val="{366CE714-2EC4-4DD7-AD95-96C85922B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styleId="ListParagraph">
    <w:name w:val="List Paragraph"/>
    <w:basedOn w:val="Normal"/>
    <w:uiPriority w:val="34"/>
    <w:qFormat/>
    <w:rsid w:val="008658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1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5485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2702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3092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8276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1803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80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4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2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0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1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7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7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0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2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72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6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3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9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5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6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1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3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00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57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pandhubhaskoro@outlook.com</dc:creator>
  <cp:keywords/>
  <dc:description/>
  <cp:lastModifiedBy>pandhubhaskoro@outlook.com</cp:lastModifiedBy>
  <cp:revision>1</cp:revision>
  <dcterms:created xsi:type="dcterms:W3CDTF">2021-07-14T02:23:00Z</dcterms:created>
  <dcterms:modified xsi:type="dcterms:W3CDTF">2021-07-14T02:30:00Z</dcterms:modified>
</cp:coreProperties>
</file>